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191C" w14:textId="77777777" w:rsidR="006536F4" w:rsidRPr="00DA7903" w:rsidRDefault="006536F4" w:rsidP="006536F4">
      <w:pPr>
        <w:pStyle w:val="StandardWeb"/>
        <w:spacing w:before="120" w:beforeAutospacing="0" w:after="120" w:afterAutospacing="0"/>
        <w:jc w:val="right"/>
        <w:rPr>
          <w:rFonts w:ascii="Open Sans" w:hAnsi="Open Sans" w:cs="Open Sans"/>
          <w:sz w:val="18"/>
          <w:szCs w:val="18"/>
          <w:lang w:val="nl-NL"/>
        </w:rPr>
      </w:pPr>
      <w:r w:rsidRPr="00DA7903">
        <w:rPr>
          <w:rFonts w:ascii="Open Sans" w:hAnsi="Open Sans" w:cs="Open Sans"/>
          <w:b/>
          <w:bCs/>
          <w:noProof/>
          <w:sz w:val="18"/>
          <w:szCs w:val="18"/>
        </w:rPr>
        <w:drawing>
          <wp:anchor distT="0" distB="0" distL="114300" distR="114300" simplePos="0" relativeHeight="251659264" behindDoc="0" locked="0" layoutInCell="1" allowOverlap="1" wp14:anchorId="32EEAB57" wp14:editId="195AE236">
            <wp:simplePos x="0" y="0"/>
            <wp:positionH relativeFrom="column">
              <wp:posOffset>22225</wp:posOffset>
            </wp:positionH>
            <wp:positionV relativeFrom="paragraph">
              <wp:posOffset>399</wp:posOffset>
            </wp:positionV>
            <wp:extent cx="966470" cy="1419225"/>
            <wp:effectExtent l="0" t="0" r="0" b="3175"/>
            <wp:wrapSquare wrapText="bothSides"/>
            <wp:docPr id="7" name="Afbeelding 1" descr="Ein Bild, das Text, Poster,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1" descr="Ein Bild, das Text, Poster, Grafiken, Grafikdesig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470" cy="1419225"/>
                    </a:xfrm>
                    <a:prstGeom prst="rect">
                      <a:avLst/>
                    </a:prstGeom>
                    <a:noFill/>
                  </pic:spPr>
                </pic:pic>
              </a:graphicData>
            </a:graphic>
            <wp14:sizeRelH relativeFrom="margin">
              <wp14:pctWidth>0</wp14:pctWidth>
            </wp14:sizeRelH>
            <wp14:sizeRelV relativeFrom="margin">
              <wp14:pctHeight>0</wp14:pctHeight>
            </wp14:sizeRelV>
          </wp:anchor>
        </w:drawing>
      </w:r>
      <w:r w:rsidRPr="00DA7903">
        <w:rPr>
          <w:rFonts w:ascii="Open Sans" w:hAnsi="Open Sans" w:cs="Open Sans"/>
          <w:sz w:val="18"/>
          <w:szCs w:val="18"/>
          <w:lang w:val="nl-NL"/>
        </w:rPr>
        <w:tab/>
      </w:r>
    </w:p>
    <w:p w14:paraId="3CB90ECE" w14:textId="77777777" w:rsidR="006536F4" w:rsidRPr="00DA7903" w:rsidRDefault="006536F4" w:rsidP="006536F4">
      <w:pPr>
        <w:pStyle w:val="StandardWeb"/>
        <w:spacing w:before="0" w:beforeAutospacing="0" w:after="0" w:afterAutospacing="0"/>
        <w:jc w:val="right"/>
        <w:rPr>
          <w:rFonts w:ascii="Open Sans" w:hAnsi="Open Sans" w:cs="Open Sans"/>
          <w:color w:val="0D0D0D" w:themeColor="text1" w:themeTint="F2"/>
          <w:sz w:val="18"/>
          <w:szCs w:val="18"/>
          <w:lang w:val="nl-NL"/>
        </w:rPr>
      </w:pPr>
    </w:p>
    <w:p w14:paraId="2279C131" w14:textId="77777777" w:rsidR="006536F4" w:rsidRPr="00DA7903" w:rsidRDefault="006536F4" w:rsidP="006536F4">
      <w:pPr>
        <w:pStyle w:val="StandardWeb"/>
        <w:spacing w:before="0" w:beforeAutospacing="0" w:after="0" w:afterAutospacing="0"/>
        <w:jc w:val="right"/>
        <w:rPr>
          <w:rFonts w:ascii="Open Sans" w:hAnsi="Open Sans" w:cs="Open Sans"/>
          <w:color w:val="0D0D0D" w:themeColor="text1" w:themeTint="F2"/>
          <w:sz w:val="18"/>
          <w:szCs w:val="18"/>
          <w:lang w:val="nl-NL"/>
        </w:rPr>
      </w:pPr>
    </w:p>
    <w:p w14:paraId="33F52BCD" w14:textId="77777777" w:rsidR="006536F4" w:rsidRPr="00984154" w:rsidRDefault="006536F4" w:rsidP="006536F4">
      <w:pPr>
        <w:pStyle w:val="StandardWeb"/>
        <w:spacing w:before="0" w:beforeAutospacing="0" w:after="0" w:afterAutospacing="0"/>
        <w:jc w:val="right"/>
        <w:rPr>
          <w:rFonts w:asciiTheme="minorHAnsi" w:hAnsiTheme="minorHAnsi" w:cstheme="minorHAnsi"/>
          <w:color w:val="262626" w:themeColor="text1" w:themeTint="D9"/>
          <w:sz w:val="22"/>
          <w:szCs w:val="22"/>
          <w:lang w:val="nl-NL"/>
        </w:rPr>
      </w:pPr>
    </w:p>
    <w:p w14:paraId="5F9E1763" w14:textId="77777777" w:rsidR="006536F4" w:rsidRPr="00984154" w:rsidRDefault="006536F4" w:rsidP="006536F4">
      <w:pPr>
        <w:pStyle w:val="StandardWeb"/>
        <w:spacing w:before="0" w:beforeAutospacing="0" w:after="0" w:afterAutospacing="0"/>
        <w:jc w:val="right"/>
        <w:rPr>
          <w:rFonts w:asciiTheme="minorHAnsi" w:hAnsiTheme="minorHAnsi" w:cstheme="minorHAnsi"/>
          <w:color w:val="262626" w:themeColor="text1" w:themeTint="D9"/>
          <w:sz w:val="22"/>
          <w:szCs w:val="22"/>
          <w:lang w:val="nl-NL"/>
        </w:rPr>
      </w:pPr>
      <w:r w:rsidRPr="00984154">
        <w:rPr>
          <w:rFonts w:asciiTheme="minorHAnsi" w:hAnsiTheme="minorHAnsi" w:cstheme="minorHAnsi"/>
          <w:color w:val="262626" w:themeColor="text1" w:themeTint="D9"/>
          <w:sz w:val="22"/>
          <w:szCs w:val="22"/>
          <w:lang w:val="nl-NL"/>
        </w:rPr>
        <w:t>Anreperstraat 91</w:t>
      </w:r>
    </w:p>
    <w:p w14:paraId="4EF4087B" w14:textId="77777777" w:rsidR="006536F4" w:rsidRPr="00984154" w:rsidRDefault="006536F4" w:rsidP="006536F4">
      <w:pPr>
        <w:pStyle w:val="StandardWeb"/>
        <w:spacing w:before="0" w:beforeAutospacing="0" w:after="0" w:afterAutospacing="0"/>
        <w:jc w:val="right"/>
        <w:rPr>
          <w:rFonts w:asciiTheme="minorHAnsi" w:hAnsiTheme="minorHAnsi" w:cstheme="minorHAnsi"/>
          <w:color w:val="262626" w:themeColor="text1" w:themeTint="D9"/>
          <w:sz w:val="22"/>
          <w:szCs w:val="22"/>
          <w:lang w:val="nl-NL"/>
        </w:rPr>
      </w:pPr>
      <w:r w:rsidRPr="00984154">
        <w:rPr>
          <w:rFonts w:asciiTheme="minorHAnsi" w:hAnsiTheme="minorHAnsi" w:cstheme="minorHAnsi"/>
          <w:color w:val="262626" w:themeColor="text1" w:themeTint="D9"/>
          <w:sz w:val="22"/>
          <w:szCs w:val="22"/>
          <w:lang w:val="nl-NL"/>
        </w:rPr>
        <w:t>9404 LC Assen</w:t>
      </w:r>
    </w:p>
    <w:p w14:paraId="02F63685" w14:textId="77777777" w:rsidR="006536F4" w:rsidRPr="00984154" w:rsidRDefault="006536F4" w:rsidP="006536F4">
      <w:pPr>
        <w:pStyle w:val="StandardWeb"/>
        <w:spacing w:before="0" w:beforeAutospacing="0" w:after="0" w:afterAutospacing="0"/>
        <w:jc w:val="right"/>
        <w:rPr>
          <w:rFonts w:asciiTheme="minorHAnsi" w:hAnsiTheme="minorHAnsi" w:cstheme="minorHAnsi"/>
          <w:color w:val="262626" w:themeColor="text1" w:themeTint="D9"/>
          <w:sz w:val="22"/>
          <w:szCs w:val="22"/>
          <w:lang w:val="nl-NL"/>
        </w:rPr>
      </w:pPr>
      <w:hyperlink r:id="rId8" w:history="1">
        <w:r w:rsidRPr="00984154">
          <w:rPr>
            <w:rStyle w:val="Hyperlink"/>
            <w:rFonts w:asciiTheme="minorHAnsi" w:hAnsiTheme="minorHAnsi" w:cstheme="minorHAnsi"/>
            <w:color w:val="262626" w:themeColor="text1" w:themeTint="D9"/>
            <w:sz w:val="22"/>
            <w:szCs w:val="22"/>
            <w:u w:val="none"/>
            <w:lang w:val="nl-NL"/>
          </w:rPr>
          <w:t>pan.netherlands@gmail.com</w:t>
        </w:r>
      </w:hyperlink>
    </w:p>
    <w:p w14:paraId="3A964C02" w14:textId="77777777" w:rsidR="006536F4" w:rsidRPr="00984154" w:rsidRDefault="006536F4" w:rsidP="006536F4">
      <w:pPr>
        <w:pStyle w:val="StandardWeb"/>
        <w:spacing w:before="0" w:beforeAutospacing="0" w:after="0" w:afterAutospacing="0"/>
        <w:jc w:val="right"/>
        <w:rPr>
          <w:rFonts w:asciiTheme="minorHAnsi" w:hAnsiTheme="minorHAnsi" w:cstheme="minorHAnsi"/>
          <w:color w:val="262626" w:themeColor="text1" w:themeTint="D9"/>
          <w:sz w:val="22"/>
          <w:szCs w:val="22"/>
          <w:lang w:val="nl-NL"/>
        </w:rPr>
      </w:pPr>
      <w:proofErr w:type="gramStart"/>
      <w:r w:rsidRPr="00984154">
        <w:rPr>
          <w:rFonts w:asciiTheme="minorHAnsi" w:hAnsiTheme="minorHAnsi" w:cstheme="minorHAnsi"/>
          <w:color w:val="262626" w:themeColor="text1" w:themeTint="D9"/>
          <w:sz w:val="22"/>
          <w:szCs w:val="22"/>
          <w:lang w:val="nl-NL"/>
        </w:rPr>
        <w:t>https://www.pan-netherlands.org</w:t>
      </w:r>
      <w:proofErr w:type="gramEnd"/>
    </w:p>
    <w:p w14:paraId="1C3C00F3" w14:textId="77777777" w:rsidR="006536F4" w:rsidRDefault="006536F4" w:rsidP="00F4519B">
      <w:pPr>
        <w:rPr>
          <w:color w:val="262626" w:themeColor="text1" w:themeTint="D9"/>
          <w:sz w:val="21"/>
          <w:szCs w:val="21"/>
        </w:rPr>
      </w:pPr>
    </w:p>
    <w:p w14:paraId="6B060187" w14:textId="77777777" w:rsidR="006536F4" w:rsidRPr="00FD3BF3" w:rsidRDefault="006536F4" w:rsidP="006536F4">
      <w:pPr>
        <w:spacing w:after="0" w:line="240" w:lineRule="auto"/>
        <w:rPr>
          <w:rFonts w:cstheme="minorHAnsi"/>
          <w:b/>
          <w:bCs/>
        </w:rPr>
      </w:pPr>
      <w:r w:rsidRPr="00FD3BF3">
        <w:rPr>
          <w:rFonts w:cstheme="minorHAnsi"/>
          <w:b/>
          <w:bCs/>
        </w:rPr>
        <w:t>Aan het Ctgb</w:t>
      </w:r>
    </w:p>
    <w:p w14:paraId="60758DAE" w14:textId="77777777" w:rsidR="006536F4" w:rsidRPr="00FD3BF3" w:rsidRDefault="006536F4" w:rsidP="006536F4">
      <w:pPr>
        <w:pStyle w:val="StandardWeb"/>
        <w:spacing w:before="0" w:beforeAutospacing="0" w:after="0" w:afterAutospacing="0"/>
        <w:rPr>
          <w:rFonts w:asciiTheme="minorHAnsi" w:hAnsiTheme="minorHAnsi" w:cstheme="minorHAnsi"/>
          <w:b/>
          <w:bCs/>
          <w:color w:val="262626" w:themeColor="text1" w:themeTint="D9"/>
          <w:sz w:val="22"/>
          <w:szCs w:val="22"/>
          <w:lang w:val="nl-NL"/>
        </w:rPr>
      </w:pPr>
      <w:r w:rsidRPr="00FD3BF3">
        <w:rPr>
          <w:rFonts w:asciiTheme="minorHAnsi" w:hAnsiTheme="minorHAnsi" w:cstheme="minorHAnsi"/>
          <w:b/>
          <w:bCs/>
          <w:color w:val="262626" w:themeColor="text1" w:themeTint="D9"/>
          <w:sz w:val="22"/>
          <w:szCs w:val="22"/>
          <w:lang w:val="nl-NL"/>
        </w:rPr>
        <w:t xml:space="preserve">Postbus 8030 </w:t>
      </w:r>
    </w:p>
    <w:p w14:paraId="18C93856" w14:textId="77777777" w:rsidR="006536F4" w:rsidRPr="00FD3BF3" w:rsidRDefault="006536F4" w:rsidP="006536F4">
      <w:pPr>
        <w:pStyle w:val="StandardWeb"/>
        <w:spacing w:before="0" w:beforeAutospacing="0" w:after="0" w:afterAutospacing="0"/>
        <w:rPr>
          <w:rFonts w:asciiTheme="minorHAnsi" w:hAnsiTheme="minorHAnsi" w:cstheme="minorHAnsi"/>
          <w:b/>
          <w:bCs/>
          <w:color w:val="262626" w:themeColor="text1" w:themeTint="D9"/>
          <w:sz w:val="22"/>
          <w:szCs w:val="22"/>
          <w:lang w:val="nl-NL"/>
        </w:rPr>
      </w:pPr>
      <w:r w:rsidRPr="00FD3BF3">
        <w:rPr>
          <w:rFonts w:asciiTheme="minorHAnsi" w:hAnsiTheme="minorHAnsi" w:cstheme="minorHAnsi"/>
          <w:b/>
          <w:bCs/>
          <w:color w:val="262626" w:themeColor="text1" w:themeTint="D9"/>
          <w:sz w:val="22"/>
          <w:szCs w:val="22"/>
          <w:lang w:val="nl-NL"/>
        </w:rPr>
        <w:t xml:space="preserve">6710 AA Ede </w:t>
      </w:r>
    </w:p>
    <w:p w14:paraId="7A82F2D6" w14:textId="77777777" w:rsidR="006536F4" w:rsidRDefault="006536F4" w:rsidP="006536F4">
      <w:pPr>
        <w:rPr>
          <w:rFonts w:cstheme="minorHAnsi"/>
          <w:sz w:val="20"/>
          <w:szCs w:val="20"/>
        </w:rPr>
      </w:pPr>
      <w:r w:rsidRPr="00FD3BF3">
        <w:rPr>
          <w:rFonts w:cstheme="minorHAnsi"/>
          <w:sz w:val="20"/>
          <w:szCs w:val="20"/>
        </w:rPr>
        <w:t>Aangetekend en per e-mail verstuurd</w:t>
      </w:r>
    </w:p>
    <w:p w14:paraId="6BE219DA" w14:textId="77777777" w:rsidR="006536F4" w:rsidRPr="00FD3BF3" w:rsidRDefault="006536F4" w:rsidP="006536F4">
      <w:pPr>
        <w:rPr>
          <w:rFonts w:cstheme="minorHAnsi"/>
          <w:sz w:val="20"/>
          <w:szCs w:val="20"/>
        </w:rPr>
      </w:pPr>
    </w:p>
    <w:p w14:paraId="66C33DD4" w14:textId="76F99B63" w:rsidR="006536F4" w:rsidRDefault="006536F4" w:rsidP="00F4519B">
      <w:pPr>
        <w:rPr>
          <w:color w:val="262626" w:themeColor="text1" w:themeTint="D9"/>
          <w:sz w:val="21"/>
          <w:szCs w:val="21"/>
        </w:rPr>
      </w:pPr>
      <w:r>
        <w:rPr>
          <w:color w:val="262626" w:themeColor="text1" w:themeTint="D9"/>
          <w:sz w:val="21"/>
          <w:szCs w:val="21"/>
        </w:rPr>
        <w:t>Assen, 10 maart 2025</w:t>
      </w:r>
    </w:p>
    <w:p w14:paraId="09404564" w14:textId="01B2CAB3" w:rsidR="00086738" w:rsidRPr="00086738" w:rsidRDefault="00E637EA" w:rsidP="00F4519B">
      <w:pPr>
        <w:rPr>
          <w:b/>
          <w:bCs/>
          <w:color w:val="262626" w:themeColor="text1" w:themeTint="D9"/>
          <w:sz w:val="21"/>
          <w:szCs w:val="21"/>
        </w:rPr>
      </w:pPr>
      <w:r w:rsidRPr="00086738">
        <w:rPr>
          <w:b/>
          <w:bCs/>
          <w:color w:val="262626" w:themeColor="text1" w:themeTint="D9"/>
          <w:sz w:val="21"/>
          <w:szCs w:val="21"/>
        </w:rPr>
        <w:t xml:space="preserve">Betreft: bezwaar tegen de 12 wijzigingsbesluiten van middelen </w:t>
      </w:r>
      <w:r w:rsidR="00905DD2" w:rsidRPr="00086738">
        <w:rPr>
          <w:b/>
          <w:bCs/>
          <w:color w:val="262626" w:themeColor="text1" w:themeTint="D9"/>
          <w:sz w:val="21"/>
          <w:szCs w:val="21"/>
        </w:rPr>
        <w:t xml:space="preserve">met </w:t>
      </w:r>
      <w:r w:rsidRPr="00086738">
        <w:rPr>
          <w:b/>
          <w:bCs/>
          <w:color w:val="262626" w:themeColor="text1" w:themeTint="D9"/>
          <w:sz w:val="21"/>
          <w:szCs w:val="21"/>
        </w:rPr>
        <w:t xml:space="preserve">de actieve stof </w:t>
      </w:r>
      <w:proofErr w:type="spellStart"/>
      <w:r w:rsidRPr="00086738">
        <w:rPr>
          <w:b/>
          <w:bCs/>
          <w:color w:val="262626" w:themeColor="text1" w:themeTint="D9"/>
          <w:sz w:val="21"/>
          <w:szCs w:val="21"/>
        </w:rPr>
        <w:t>captan</w:t>
      </w:r>
      <w:proofErr w:type="spellEnd"/>
    </w:p>
    <w:p w14:paraId="4A6F6164" w14:textId="77777777" w:rsidR="00086738" w:rsidRDefault="00E637EA" w:rsidP="00F4519B">
      <w:pPr>
        <w:rPr>
          <w:color w:val="262626" w:themeColor="text1" w:themeTint="D9"/>
          <w:sz w:val="21"/>
          <w:szCs w:val="21"/>
        </w:rPr>
      </w:pPr>
      <w:r w:rsidRPr="006536F4">
        <w:rPr>
          <w:color w:val="262626" w:themeColor="text1" w:themeTint="D9"/>
          <w:sz w:val="21"/>
          <w:szCs w:val="21"/>
        </w:rPr>
        <w:t xml:space="preserve">Geacht College, </w:t>
      </w:r>
    </w:p>
    <w:p w14:paraId="113E6F1A" w14:textId="2DF81DE2" w:rsidR="00E637EA" w:rsidRPr="006536F4" w:rsidRDefault="00086738" w:rsidP="00F4519B">
      <w:pPr>
        <w:rPr>
          <w:color w:val="262626" w:themeColor="text1" w:themeTint="D9"/>
          <w:sz w:val="21"/>
          <w:szCs w:val="21"/>
        </w:rPr>
      </w:pPr>
      <w:r>
        <w:rPr>
          <w:color w:val="262626" w:themeColor="text1" w:themeTint="D9"/>
          <w:sz w:val="21"/>
          <w:szCs w:val="21"/>
        </w:rPr>
        <w:t>W</w:t>
      </w:r>
      <w:r w:rsidR="00E637EA" w:rsidRPr="006536F4">
        <w:rPr>
          <w:color w:val="262626" w:themeColor="text1" w:themeTint="D9"/>
          <w:sz w:val="21"/>
          <w:szCs w:val="21"/>
        </w:rPr>
        <w:t xml:space="preserve">ij hebben </w:t>
      </w:r>
      <w:r w:rsidR="009418BE" w:rsidRPr="006536F4">
        <w:rPr>
          <w:color w:val="262626" w:themeColor="text1" w:themeTint="D9"/>
          <w:sz w:val="21"/>
          <w:szCs w:val="21"/>
        </w:rPr>
        <w:t>in de Staatscourant van 29 januari 2025</w:t>
      </w:r>
      <w:r w:rsidR="00905DD2" w:rsidRPr="006536F4">
        <w:rPr>
          <w:rStyle w:val="Funotenzeichen"/>
          <w:color w:val="262626" w:themeColor="text1" w:themeTint="D9"/>
          <w:sz w:val="21"/>
          <w:szCs w:val="21"/>
        </w:rPr>
        <w:footnoteReference w:id="1"/>
      </w:r>
      <w:r w:rsidR="009418BE" w:rsidRPr="006536F4">
        <w:rPr>
          <w:color w:val="262626" w:themeColor="text1" w:themeTint="D9"/>
          <w:sz w:val="21"/>
          <w:szCs w:val="21"/>
        </w:rPr>
        <w:t xml:space="preserve"> </w:t>
      </w:r>
      <w:proofErr w:type="gramStart"/>
      <w:r w:rsidR="00E8388A" w:rsidRPr="006536F4">
        <w:rPr>
          <w:color w:val="262626" w:themeColor="text1" w:themeTint="D9"/>
          <w:sz w:val="21"/>
          <w:szCs w:val="21"/>
        </w:rPr>
        <w:t>kennis genomen</w:t>
      </w:r>
      <w:proofErr w:type="gramEnd"/>
      <w:r w:rsidR="00E8388A" w:rsidRPr="006536F4">
        <w:rPr>
          <w:color w:val="262626" w:themeColor="text1" w:themeTint="D9"/>
          <w:sz w:val="21"/>
          <w:szCs w:val="21"/>
        </w:rPr>
        <w:t xml:space="preserve"> </w:t>
      </w:r>
      <w:r w:rsidR="00E637EA" w:rsidRPr="006536F4">
        <w:rPr>
          <w:color w:val="262626" w:themeColor="text1" w:themeTint="D9"/>
          <w:sz w:val="21"/>
          <w:szCs w:val="21"/>
        </w:rPr>
        <w:t xml:space="preserve">van de wijzigingsbesluiten inzake </w:t>
      </w:r>
      <w:r w:rsidR="001E514D" w:rsidRPr="006536F4">
        <w:rPr>
          <w:color w:val="262626" w:themeColor="text1" w:themeTint="D9"/>
          <w:sz w:val="21"/>
          <w:szCs w:val="21"/>
        </w:rPr>
        <w:t xml:space="preserve">12 </w:t>
      </w:r>
      <w:proofErr w:type="spellStart"/>
      <w:r w:rsidR="00E637EA" w:rsidRPr="006536F4">
        <w:rPr>
          <w:color w:val="262626" w:themeColor="text1" w:themeTint="D9"/>
          <w:sz w:val="21"/>
          <w:szCs w:val="21"/>
        </w:rPr>
        <w:t>captan</w:t>
      </w:r>
      <w:proofErr w:type="spellEnd"/>
      <w:r w:rsidR="00E637EA" w:rsidRPr="006536F4">
        <w:rPr>
          <w:color w:val="262626" w:themeColor="text1" w:themeTint="D9"/>
          <w:sz w:val="21"/>
          <w:szCs w:val="21"/>
        </w:rPr>
        <w:t xml:space="preserve"> middelen (leidend middel </w:t>
      </w:r>
      <w:proofErr w:type="spellStart"/>
      <w:r w:rsidR="00E637EA" w:rsidRPr="006536F4">
        <w:rPr>
          <w:color w:val="262626" w:themeColor="text1" w:themeTint="D9"/>
          <w:sz w:val="21"/>
          <w:szCs w:val="21"/>
        </w:rPr>
        <w:t>Captosan</w:t>
      </w:r>
      <w:proofErr w:type="spellEnd"/>
      <w:r w:rsidR="00E637EA" w:rsidRPr="006536F4">
        <w:rPr>
          <w:color w:val="262626" w:themeColor="text1" w:themeTint="D9"/>
          <w:sz w:val="21"/>
          <w:szCs w:val="21"/>
        </w:rPr>
        <w:t xml:space="preserve"> 500).  Het Ctgb heeft daarin een aantal voorwaarden voor </w:t>
      </w:r>
      <w:r w:rsidR="00E8388A" w:rsidRPr="006536F4">
        <w:rPr>
          <w:color w:val="262626" w:themeColor="text1" w:themeTint="D9"/>
          <w:sz w:val="21"/>
          <w:szCs w:val="21"/>
        </w:rPr>
        <w:t xml:space="preserve">de </w:t>
      </w:r>
      <w:r w:rsidR="00E637EA" w:rsidRPr="006536F4">
        <w:rPr>
          <w:color w:val="262626" w:themeColor="text1" w:themeTint="D9"/>
          <w:sz w:val="21"/>
          <w:szCs w:val="21"/>
        </w:rPr>
        <w:t xml:space="preserve">toepassing van </w:t>
      </w:r>
      <w:proofErr w:type="spellStart"/>
      <w:r w:rsidR="00E637EA" w:rsidRPr="006536F4">
        <w:rPr>
          <w:color w:val="262626" w:themeColor="text1" w:themeTint="D9"/>
          <w:sz w:val="21"/>
          <w:szCs w:val="21"/>
        </w:rPr>
        <w:t>captan</w:t>
      </w:r>
      <w:proofErr w:type="spellEnd"/>
      <w:r w:rsidR="00E637EA" w:rsidRPr="006536F4">
        <w:rPr>
          <w:color w:val="262626" w:themeColor="text1" w:themeTint="D9"/>
          <w:sz w:val="21"/>
          <w:szCs w:val="21"/>
        </w:rPr>
        <w:t xml:space="preserve">-middelen in het open veld opgenomen in de besluiten die voortvloeien uit het Europese toelatingsbesluit van september 2024. </w:t>
      </w:r>
      <w:r w:rsidR="001E514D" w:rsidRPr="006536F4">
        <w:rPr>
          <w:color w:val="262626" w:themeColor="text1" w:themeTint="D9"/>
          <w:sz w:val="21"/>
          <w:szCs w:val="21"/>
        </w:rPr>
        <w:t xml:space="preserve">In uw besluit van 15 oktober 2024 in reactie op onze intrekkingsverzoeken van de </w:t>
      </w:r>
      <w:proofErr w:type="spellStart"/>
      <w:r w:rsidR="001E514D" w:rsidRPr="006536F4">
        <w:rPr>
          <w:color w:val="262626" w:themeColor="text1" w:themeTint="D9"/>
          <w:sz w:val="21"/>
          <w:szCs w:val="21"/>
        </w:rPr>
        <w:t>captan</w:t>
      </w:r>
      <w:proofErr w:type="spellEnd"/>
      <w:r w:rsidR="001E514D" w:rsidRPr="006536F4">
        <w:rPr>
          <w:color w:val="262626" w:themeColor="text1" w:themeTint="D9"/>
          <w:sz w:val="21"/>
          <w:szCs w:val="21"/>
        </w:rPr>
        <w:t xml:space="preserve">-middelen, hebt u al aangegeven dat u deze wijzigingsbesluiten zult gaan treffen. </w:t>
      </w:r>
      <w:r w:rsidR="00E637EA" w:rsidRPr="006536F4">
        <w:rPr>
          <w:color w:val="262626" w:themeColor="text1" w:themeTint="D9"/>
          <w:sz w:val="21"/>
          <w:szCs w:val="21"/>
        </w:rPr>
        <w:t>In ons bezwaarschrift van 22 november 2024</w:t>
      </w:r>
      <w:r w:rsidR="00905DD2" w:rsidRPr="006536F4">
        <w:rPr>
          <w:color w:val="262626" w:themeColor="text1" w:themeTint="D9"/>
          <w:sz w:val="21"/>
          <w:szCs w:val="21"/>
        </w:rPr>
        <w:t xml:space="preserve"> (Bijlage 1)</w:t>
      </w:r>
      <w:r w:rsidR="00E637EA" w:rsidRPr="006536F4">
        <w:rPr>
          <w:color w:val="262626" w:themeColor="text1" w:themeTint="D9"/>
          <w:sz w:val="21"/>
          <w:szCs w:val="21"/>
        </w:rPr>
        <w:t xml:space="preserve"> tegen het besluit van het Ctgb inhoudend een weigering de </w:t>
      </w:r>
      <w:proofErr w:type="spellStart"/>
      <w:r w:rsidR="00E637EA" w:rsidRPr="006536F4">
        <w:rPr>
          <w:color w:val="262626" w:themeColor="text1" w:themeTint="D9"/>
          <w:sz w:val="21"/>
          <w:szCs w:val="21"/>
        </w:rPr>
        <w:t>captan</w:t>
      </w:r>
      <w:proofErr w:type="spellEnd"/>
      <w:r w:rsidR="00E637EA" w:rsidRPr="006536F4">
        <w:rPr>
          <w:color w:val="262626" w:themeColor="text1" w:themeTint="D9"/>
          <w:sz w:val="21"/>
          <w:szCs w:val="21"/>
        </w:rPr>
        <w:t xml:space="preserve">-middelen in te trekken, hebben wij al een uitgebreide motivering gegeven waarom deze voorwaarden niet leiden tot een veilig gebruik van de middelen, althans er geen wetenschappelijke onderbouwing </w:t>
      </w:r>
      <w:r w:rsidR="00905DD2" w:rsidRPr="006536F4">
        <w:rPr>
          <w:color w:val="262626" w:themeColor="text1" w:themeTint="D9"/>
          <w:sz w:val="21"/>
          <w:szCs w:val="21"/>
        </w:rPr>
        <w:t>beschikbaar is</w:t>
      </w:r>
      <w:r w:rsidR="00E637EA" w:rsidRPr="006536F4">
        <w:rPr>
          <w:color w:val="262626" w:themeColor="text1" w:themeTint="D9"/>
          <w:sz w:val="21"/>
          <w:szCs w:val="21"/>
        </w:rPr>
        <w:t xml:space="preserve"> die leidt tot </w:t>
      </w:r>
      <w:r w:rsidR="00905DD2" w:rsidRPr="006536F4">
        <w:rPr>
          <w:color w:val="262626" w:themeColor="text1" w:themeTint="D9"/>
          <w:sz w:val="21"/>
          <w:szCs w:val="21"/>
        </w:rPr>
        <w:t xml:space="preserve">de conclusie </w:t>
      </w:r>
      <w:r w:rsidR="00E637EA" w:rsidRPr="006536F4">
        <w:rPr>
          <w:color w:val="262626" w:themeColor="text1" w:themeTint="D9"/>
          <w:sz w:val="21"/>
          <w:szCs w:val="21"/>
        </w:rPr>
        <w:t xml:space="preserve">veilig gebruik. </w:t>
      </w:r>
      <w:r w:rsidR="008E02E9" w:rsidRPr="006536F4">
        <w:rPr>
          <w:color w:val="262626" w:themeColor="text1" w:themeTint="D9"/>
          <w:sz w:val="21"/>
          <w:szCs w:val="21"/>
        </w:rPr>
        <w:t>De motivering die we in onze brief van 22 november hebben gegeven, net zoals de argumenten uit ons intrekkingsverzoek van 1 augustus 2024</w:t>
      </w:r>
      <w:r w:rsidR="00905DD2" w:rsidRPr="006536F4">
        <w:rPr>
          <w:color w:val="262626" w:themeColor="text1" w:themeTint="D9"/>
          <w:sz w:val="21"/>
          <w:szCs w:val="21"/>
        </w:rPr>
        <w:t xml:space="preserve"> (Bijlage 2)</w:t>
      </w:r>
      <w:r w:rsidR="008E02E9" w:rsidRPr="006536F4">
        <w:rPr>
          <w:color w:val="262626" w:themeColor="text1" w:themeTint="D9"/>
          <w:sz w:val="21"/>
          <w:szCs w:val="21"/>
        </w:rPr>
        <w:t xml:space="preserve">, </w:t>
      </w:r>
      <w:r w:rsidR="009418BE" w:rsidRPr="006536F4">
        <w:rPr>
          <w:color w:val="262626" w:themeColor="text1" w:themeTint="D9"/>
          <w:sz w:val="21"/>
          <w:szCs w:val="21"/>
        </w:rPr>
        <w:t xml:space="preserve">worden </w:t>
      </w:r>
      <w:r w:rsidR="008E02E9" w:rsidRPr="006536F4">
        <w:rPr>
          <w:color w:val="262626" w:themeColor="text1" w:themeTint="D9"/>
          <w:sz w:val="21"/>
          <w:szCs w:val="21"/>
        </w:rPr>
        <w:t>in dit bezwaar herhaald.</w:t>
      </w:r>
      <w:r w:rsidR="001E514D" w:rsidRPr="006536F4">
        <w:rPr>
          <w:color w:val="262626" w:themeColor="text1" w:themeTint="D9"/>
          <w:sz w:val="21"/>
          <w:szCs w:val="21"/>
        </w:rPr>
        <w:t xml:space="preserve"> </w:t>
      </w:r>
    </w:p>
    <w:p w14:paraId="2C71BD0E" w14:textId="4B9AA598" w:rsidR="000D1AE4" w:rsidRPr="006536F4" w:rsidRDefault="007A6205" w:rsidP="00F4519B">
      <w:pPr>
        <w:rPr>
          <w:color w:val="262626" w:themeColor="text1" w:themeTint="D9"/>
          <w:sz w:val="21"/>
          <w:szCs w:val="21"/>
        </w:rPr>
      </w:pPr>
      <w:r w:rsidRPr="006536F4">
        <w:rPr>
          <w:color w:val="262626" w:themeColor="text1" w:themeTint="D9"/>
          <w:sz w:val="21"/>
          <w:szCs w:val="21"/>
        </w:rPr>
        <w:t xml:space="preserve">Verder is inmiddels duidelijk geworden dat het Europese </w:t>
      </w:r>
      <w:proofErr w:type="spellStart"/>
      <w:r w:rsidRPr="006536F4">
        <w:rPr>
          <w:color w:val="262626" w:themeColor="text1" w:themeTint="D9"/>
          <w:sz w:val="21"/>
          <w:szCs w:val="21"/>
        </w:rPr>
        <w:t>captan</w:t>
      </w:r>
      <w:proofErr w:type="spellEnd"/>
      <w:r w:rsidRPr="006536F4">
        <w:rPr>
          <w:color w:val="262626" w:themeColor="text1" w:themeTint="D9"/>
          <w:sz w:val="21"/>
          <w:szCs w:val="21"/>
        </w:rPr>
        <w:t xml:space="preserve">-besluit zo goed als onuitvoerbaar is. De apparatuur waarmee Spanje in een enkel proefje heeft ‘bewezen’ dat de </w:t>
      </w:r>
      <w:proofErr w:type="gramStart"/>
      <w:r w:rsidRPr="006536F4">
        <w:rPr>
          <w:color w:val="262626" w:themeColor="text1" w:themeTint="D9"/>
          <w:sz w:val="21"/>
          <w:szCs w:val="21"/>
        </w:rPr>
        <w:t>emissie reducties</w:t>
      </w:r>
      <w:proofErr w:type="gramEnd"/>
      <w:r w:rsidRPr="006536F4">
        <w:rPr>
          <w:color w:val="262626" w:themeColor="text1" w:themeTint="D9"/>
          <w:sz w:val="21"/>
          <w:szCs w:val="21"/>
        </w:rPr>
        <w:t xml:space="preserve"> mogelijk zijn, is in andere landen niet beschikbaar. </w:t>
      </w:r>
      <w:r w:rsidR="00E8388A" w:rsidRPr="006536F4">
        <w:rPr>
          <w:color w:val="262626" w:themeColor="text1" w:themeTint="D9"/>
          <w:sz w:val="21"/>
          <w:szCs w:val="21"/>
        </w:rPr>
        <w:t>Tegelijk heeft de Voedselautoriteit EFSA geconcludeerd dat de door Spanje gepromote apparatuur helemaal niet de beoogde emissiereductie realiseert in de praktijk</w:t>
      </w:r>
      <w:r w:rsidR="00E8388A" w:rsidRPr="006536F4">
        <w:rPr>
          <w:rStyle w:val="Funotenzeichen"/>
          <w:color w:val="262626" w:themeColor="text1" w:themeTint="D9"/>
          <w:sz w:val="21"/>
          <w:szCs w:val="21"/>
        </w:rPr>
        <w:footnoteReference w:id="2"/>
      </w:r>
      <w:r w:rsidR="00E8388A" w:rsidRPr="006536F4">
        <w:rPr>
          <w:color w:val="262626" w:themeColor="text1" w:themeTint="D9"/>
          <w:sz w:val="21"/>
          <w:szCs w:val="21"/>
        </w:rPr>
        <w:t xml:space="preserve">. </w:t>
      </w:r>
      <w:r w:rsidRPr="006536F4">
        <w:rPr>
          <w:color w:val="262626" w:themeColor="text1" w:themeTint="D9"/>
          <w:sz w:val="21"/>
          <w:szCs w:val="21"/>
        </w:rPr>
        <w:t xml:space="preserve">Dit betekent dus dat het Ctgb op een theoretische manier tot haar besluit is gekomen en niet heeft kunnen vaststellen </w:t>
      </w:r>
      <w:r w:rsidR="001E514D" w:rsidRPr="006536F4">
        <w:rPr>
          <w:color w:val="262626" w:themeColor="text1" w:themeTint="D9"/>
          <w:sz w:val="21"/>
          <w:szCs w:val="21"/>
        </w:rPr>
        <w:t xml:space="preserve">met data </w:t>
      </w:r>
      <w:r w:rsidRPr="006536F4">
        <w:rPr>
          <w:color w:val="262626" w:themeColor="text1" w:themeTint="D9"/>
          <w:sz w:val="21"/>
          <w:szCs w:val="21"/>
        </w:rPr>
        <w:t>o</w:t>
      </w:r>
      <w:r w:rsidR="001E514D" w:rsidRPr="006536F4">
        <w:rPr>
          <w:color w:val="262626" w:themeColor="text1" w:themeTint="D9"/>
          <w:sz w:val="21"/>
          <w:szCs w:val="21"/>
        </w:rPr>
        <w:t>f</w:t>
      </w:r>
      <w:r w:rsidRPr="006536F4">
        <w:rPr>
          <w:color w:val="262626" w:themeColor="text1" w:themeTint="D9"/>
          <w:sz w:val="21"/>
          <w:szCs w:val="21"/>
        </w:rPr>
        <w:t xml:space="preserve"> de emissiereducties ook werkelijk tot stand zullen komen</w:t>
      </w:r>
      <w:r w:rsidR="001E514D" w:rsidRPr="006536F4">
        <w:rPr>
          <w:color w:val="262626" w:themeColor="text1" w:themeTint="D9"/>
          <w:sz w:val="21"/>
          <w:szCs w:val="21"/>
        </w:rPr>
        <w:t xml:space="preserve"> in </w:t>
      </w:r>
      <w:r w:rsidR="00905DD2" w:rsidRPr="006536F4">
        <w:rPr>
          <w:color w:val="262626" w:themeColor="text1" w:themeTint="D9"/>
          <w:sz w:val="21"/>
          <w:szCs w:val="21"/>
        </w:rPr>
        <w:t xml:space="preserve">de </w:t>
      </w:r>
      <w:r w:rsidR="001E514D" w:rsidRPr="006536F4">
        <w:rPr>
          <w:color w:val="262626" w:themeColor="text1" w:themeTint="D9"/>
          <w:sz w:val="21"/>
          <w:szCs w:val="21"/>
        </w:rPr>
        <w:t>Nederland</w:t>
      </w:r>
      <w:r w:rsidR="00905DD2" w:rsidRPr="006536F4">
        <w:rPr>
          <w:color w:val="262626" w:themeColor="text1" w:themeTint="D9"/>
          <w:sz w:val="21"/>
          <w:szCs w:val="21"/>
        </w:rPr>
        <w:t>se situatie</w:t>
      </w:r>
      <w:r w:rsidR="00E8388A" w:rsidRPr="006536F4">
        <w:rPr>
          <w:color w:val="262626" w:themeColor="text1" w:themeTint="D9"/>
          <w:sz w:val="21"/>
          <w:szCs w:val="21"/>
        </w:rPr>
        <w:t xml:space="preserve"> met de door Spanje gepromote apparatuur</w:t>
      </w:r>
      <w:r w:rsidRPr="006536F4">
        <w:rPr>
          <w:color w:val="262626" w:themeColor="text1" w:themeTint="D9"/>
          <w:sz w:val="21"/>
          <w:szCs w:val="21"/>
        </w:rPr>
        <w:t xml:space="preserve">. Op een vraag van de </w:t>
      </w:r>
      <w:r w:rsidR="00905DD2" w:rsidRPr="006536F4">
        <w:rPr>
          <w:color w:val="262626" w:themeColor="text1" w:themeTint="D9"/>
          <w:sz w:val="21"/>
          <w:szCs w:val="21"/>
        </w:rPr>
        <w:t xml:space="preserve">Europese </w:t>
      </w:r>
      <w:r w:rsidRPr="006536F4">
        <w:rPr>
          <w:color w:val="262626" w:themeColor="text1" w:themeTint="D9"/>
          <w:sz w:val="21"/>
          <w:szCs w:val="21"/>
        </w:rPr>
        <w:t xml:space="preserve">Commissie aan lidstaten om duidelijkheid te geven over de benodigde appratuur, </w:t>
      </w:r>
      <w:r w:rsidR="001E514D" w:rsidRPr="006536F4">
        <w:rPr>
          <w:color w:val="262626" w:themeColor="text1" w:themeTint="D9"/>
          <w:sz w:val="21"/>
          <w:szCs w:val="21"/>
        </w:rPr>
        <w:t>bleek geen</w:t>
      </w:r>
      <w:r w:rsidRPr="006536F4">
        <w:rPr>
          <w:color w:val="262626" w:themeColor="text1" w:themeTint="D9"/>
          <w:sz w:val="21"/>
          <w:szCs w:val="21"/>
        </w:rPr>
        <w:t xml:space="preserve"> reactie</w:t>
      </w:r>
      <w:r w:rsidR="00905DD2" w:rsidRPr="006536F4">
        <w:rPr>
          <w:color w:val="262626" w:themeColor="text1" w:themeTint="D9"/>
          <w:sz w:val="21"/>
          <w:szCs w:val="21"/>
        </w:rPr>
        <w:t xml:space="preserve"> te komen</w:t>
      </w:r>
      <w:r w:rsidRPr="006536F4">
        <w:rPr>
          <w:color w:val="262626" w:themeColor="text1" w:themeTint="D9"/>
          <w:sz w:val="21"/>
          <w:szCs w:val="21"/>
        </w:rPr>
        <w:t>.</w:t>
      </w:r>
      <w:r w:rsidR="001E514D" w:rsidRPr="006536F4">
        <w:rPr>
          <w:color w:val="262626" w:themeColor="text1" w:themeTint="D9"/>
          <w:sz w:val="21"/>
          <w:szCs w:val="21"/>
        </w:rPr>
        <w:t xml:space="preserve"> </w:t>
      </w:r>
      <w:r w:rsidR="00E8388A" w:rsidRPr="006536F4">
        <w:rPr>
          <w:color w:val="262626" w:themeColor="text1" w:themeTint="D9"/>
          <w:sz w:val="21"/>
          <w:szCs w:val="21"/>
        </w:rPr>
        <w:t>De lidstaten weten</w:t>
      </w:r>
      <w:r w:rsidR="00905DD2" w:rsidRPr="006536F4">
        <w:rPr>
          <w:color w:val="262626" w:themeColor="text1" w:themeTint="D9"/>
          <w:sz w:val="21"/>
          <w:szCs w:val="21"/>
        </w:rPr>
        <w:t xml:space="preserve"> het niet</w:t>
      </w:r>
      <w:r w:rsidR="000D1AE4" w:rsidRPr="006536F4">
        <w:rPr>
          <w:color w:val="262626" w:themeColor="text1" w:themeTint="D9"/>
          <w:sz w:val="21"/>
          <w:szCs w:val="21"/>
        </w:rPr>
        <w:t xml:space="preserve"> en beschikken er niet over</w:t>
      </w:r>
      <w:r w:rsidR="00905DD2" w:rsidRPr="006536F4">
        <w:rPr>
          <w:color w:val="262626" w:themeColor="text1" w:themeTint="D9"/>
          <w:sz w:val="21"/>
          <w:szCs w:val="21"/>
        </w:rPr>
        <w:t xml:space="preserve">. </w:t>
      </w:r>
      <w:r w:rsidR="00E8388A" w:rsidRPr="006536F4">
        <w:rPr>
          <w:color w:val="262626" w:themeColor="text1" w:themeTint="D9"/>
          <w:sz w:val="21"/>
          <w:szCs w:val="21"/>
        </w:rPr>
        <w:t xml:space="preserve">Nederland weet het niet en het Ctgb ook niet. </w:t>
      </w:r>
      <w:r w:rsidR="001E514D" w:rsidRPr="006536F4">
        <w:rPr>
          <w:color w:val="262626" w:themeColor="text1" w:themeTint="D9"/>
          <w:sz w:val="21"/>
          <w:szCs w:val="21"/>
        </w:rPr>
        <w:t xml:space="preserve">Door het ontbreken van een </w:t>
      </w:r>
      <w:r w:rsidR="00905DD2" w:rsidRPr="006536F4">
        <w:rPr>
          <w:color w:val="262626" w:themeColor="text1" w:themeTint="D9"/>
          <w:sz w:val="21"/>
          <w:szCs w:val="21"/>
        </w:rPr>
        <w:t xml:space="preserve">wetenschappelijke en technische </w:t>
      </w:r>
      <w:r w:rsidR="001E514D" w:rsidRPr="006536F4">
        <w:rPr>
          <w:color w:val="262626" w:themeColor="text1" w:themeTint="D9"/>
          <w:sz w:val="21"/>
          <w:szCs w:val="21"/>
        </w:rPr>
        <w:t>basis aan de voorwaarden en het ontbreken van een</w:t>
      </w:r>
      <w:r w:rsidR="00905DD2" w:rsidRPr="006536F4">
        <w:rPr>
          <w:color w:val="262626" w:themeColor="text1" w:themeTint="D9"/>
          <w:sz w:val="21"/>
          <w:szCs w:val="21"/>
        </w:rPr>
        <w:t xml:space="preserve"> kenbare</w:t>
      </w:r>
      <w:r w:rsidR="001E514D" w:rsidRPr="006536F4">
        <w:rPr>
          <w:color w:val="262626" w:themeColor="text1" w:themeTint="D9"/>
          <w:sz w:val="21"/>
          <w:szCs w:val="21"/>
        </w:rPr>
        <w:t xml:space="preserve"> </w:t>
      </w:r>
      <w:r w:rsidR="00E8388A" w:rsidRPr="006536F4">
        <w:rPr>
          <w:color w:val="262626" w:themeColor="text1" w:themeTint="D9"/>
          <w:sz w:val="21"/>
          <w:szCs w:val="21"/>
        </w:rPr>
        <w:t xml:space="preserve">op technische data gebaseerde </w:t>
      </w:r>
      <w:r w:rsidR="0033755C" w:rsidRPr="006536F4">
        <w:rPr>
          <w:color w:val="262626" w:themeColor="text1" w:themeTint="D9"/>
          <w:sz w:val="21"/>
          <w:szCs w:val="21"/>
        </w:rPr>
        <w:t>risicoanalyse</w:t>
      </w:r>
      <w:r w:rsidR="001E514D" w:rsidRPr="006536F4">
        <w:rPr>
          <w:color w:val="262626" w:themeColor="text1" w:themeTint="D9"/>
          <w:sz w:val="21"/>
          <w:szCs w:val="21"/>
        </w:rPr>
        <w:t xml:space="preserve"> voor de Nederlandse situatie is uw besluit ongefundeerd.</w:t>
      </w:r>
      <w:r w:rsidR="008C13BB" w:rsidRPr="006536F4">
        <w:rPr>
          <w:color w:val="262626" w:themeColor="text1" w:themeTint="D9"/>
          <w:sz w:val="21"/>
          <w:szCs w:val="21"/>
        </w:rPr>
        <w:t xml:space="preserve"> Feitelijk is het wachten op een document van de aanvrager om te bewijzen dat dergelijke apparatuur bestaat en de gewenste emissiereductie behaalt. Dat is dus op dit moment geheel ongewis en dat slaat de basis weg voor de besluiten van het Ctgb.</w:t>
      </w:r>
      <w:r w:rsidR="00905DD2" w:rsidRPr="006536F4">
        <w:rPr>
          <w:color w:val="262626" w:themeColor="text1" w:themeTint="D9"/>
          <w:sz w:val="21"/>
          <w:szCs w:val="21"/>
        </w:rPr>
        <w:t xml:space="preserve"> Het is dus de wereld op z’n kop. Het Ctgb besluit </w:t>
      </w:r>
      <w:r w:rsidR="00905DD2" w:rsidRPr="006536F4">
        <w:rPr>
          <w:color w:val="262626" w:themeColor="text1" w:themeTint="D9"/>
          <w:sz w:val="21"/>
          <w:szCs w:val="21"/>
        </w:rPr>
        <w:lastRenderedPageBreak/>
        <w:t xml:space="preserve">dat de middelen veilig gebruikt kunnen worden, maar beschikt niet over de technische gegevens of dit wel mogelijk is.  </w:t>
      </w:r>
    </w:p>
    <w:p w14:paraId="39FC83A5" w14:textId="219D5926" w:rsidR="007A6205" w:rsidRPr="006536F4" w:rsidRDefault="000D1AE4" w:rsidP="00F4519B">
      <w:pPr>
        <w:rPr>
          <w:color w:val="262626" w:themeColor="text1" w:themeTint="D9"/>
          <w:sz w:val="21"/>
          <w:szCs w:val="21"/>
        </w:rPr>
      </w:pPr>
      <w:r w:rsidRPr="006536F4">
        <w:rPr>
          <w:color w:val="262626" w:themeColor="text1" w:themeTint="D9"/>
          <w:sz w:val="21"/>
          <w:szCs w:val="21"/>
        </w:rPr>
        <w:t>Dit terwijl de wetenschappelijke instantie die over de risicoanalyse gaat, EFSA, zegt dat de Spaanse apparatuur helemaal niet de benodigde emissiereductie haalt. Het Ctgb besluit dus ook nog eens door de meest recente wetenschappelijke inzichten te negeren en dus in strijd met Art.4.</w:t>
      </w:r>
    </w:p>
    <w:p w14:paraId="57B1C4E4" w14:textId="43EFD949" w:rsidR="009418BE" w:rsidRPr="006536F4" w:rsidRDefault="009418BE" w:rsidP="00F4519B">
      <w:pPr>
        <w:rPr>
          <w:color w:val="262626" w:themeColor="text1" w:themeTint="D9"/>
          <w:sz w:val="21"/>
          <w:szCs w:val="21"/>
        </w:rPr>
      </w:pPr>
      <w:r w:rsidRPr="006536F4">
        <w:rPr>
          <w:color w:val="262626" w:themeColor="text1" w:themeTint="D9"/>
          <w:sz w:val="21"/>
          <w:szCs w:val="21"/>
        </w:rPr>
        <w:t xml:space="preserve">Wij beschouwen dit bezwaar als een aanvulling op onze bezwaren die we met de brief van 22 november </w:t>
      </w:r>
      <w:r w:rsidR="0033755C" w:rsidRPr="006536F4">
        <w:rPr>
          <w:color w:val="262626" w:themeColor="text1" w:themeTint="D9"/>
          <w:sz w:val="21"/>
          <w:szCs w:val="21"/>
        </w:rPr>
        <w:t xml:space="preserve">2024 </w:t>
      </w:r>
      <w:r w:rsidRPr="006536F4">
        <w:rPr>
          <w:color w:val="262626" w:themeColor="text1" w:themeTint="D9"/>
          <w:sz w:val="21"/>
          <w:szCs w:val="21"/>
        </w:rPr>
        <w:t>hebben geuit en menen dat deze bezwaren in een procedure kunnen worden samengevoegd.</w:t>
      </w:r>
    </w:p>
    <w:p w14:paraId="5BC5A5CB" w14:textId="78AA95A4" w:rsidR="009D0C3C" w:rsidRPr="006536F4" w:rsidRDefault="009418BE" w:rsidP="00F4519B">
      <w:pPr>
        <w:rPr>
          <w:color w:val="262626" w:themeColor="text1" w:themeTint="D9"/>
          <w:sz w:val="21"/>
          <w:szCs w:val="21"/>
        </w:rPr>
      </w:pPr>
      <w:r w:rsidRPr="006536F4">
        <w:rPr>
          <w:color w:val="262626" w:themeColor="text1" w:themeTint="D9"/>
          <w:sz w:val="21"/>
          <w:szCs w:val="21"/>
        </w:rPr>
        <w:t xml:space="preserve">Het valt ons verder op dat in </w:t>
      </w:r>
      <w:r w:rsidR="00905DD2" w:rsidRPr="006536F4">
        <w:rPr>
          <w:color w:val="262626" w:themeColor="text1" w:themeTint="D9"/>
          <w:sz w:val="21"/>
          <w:szCs w:val="21"/>
        </w:rPr>
        <w:t>uw</w:t>
      </w:r>
      <w:r w:rsidRPr="006536F4">
        <w:rPr>
          <w:color w:val="262626" w:themeColor="text1" w:themeTint="D9"/>
          <w:sz w:val="21"/>
          <w:szCs w:val="21"/>
        </w:rPr>
        <w:t xml:space="preserve"> besluiten van 29 januari </w:t>
      </w:r>
      <w:r w:rsidR="00905DD2" w:rsidRPr="006536F4">
        <w:rPr>
          <w:color w:val="262626" w:themeColor="text1" w:themeTint="D9"/>
          <w:sz w:val="21"/>
          <w:szCs w:val="21"/>
        </w:rPr>
        <w:t xml:space="preserve">2025 </w:t>
      </w:r>
      <w:r w:rsidRPr="006536F4">
        <w:rPr>
          <w:color w:val="262626" w:themeColor="text1" w:themeTint="D9"/>
          <w:sz w:val="21"/>
          <w:szCs w:val="21"/>
        </w:rPr>
        <w:t xml:space="preserve">geen aandacht is besteed aan andere problematische elementen van het </w:t>
      </w:r>
      <w:proofErr w:type="spellStart"/>
      <w:r w:rsidRPr="006536F4">
        <w:rPr>
          <w:color w:val="262626" w:themeColor="text1" w:themeTint="D9"/>
          <w:sz w:val="21"/>
          <w:szCs w:val="21"/>
        </w:rPr>
        <w:t>captan</w:t>
      </w:r>
      <w:proofErr w:type="spellEnd"/>
      <w:r w:rsidRPr="006536F4">
        <w:rPr>
          <w:color w:val="262626" w:themeColor="text1" w:themeTint="D9"/>
          <w:sz w:val="21"/>
          <w:szCs w:val="21"/>
        </w:rPr>
        <w:t xml:space="preserve"> dossier. De relevante metabolieten die tot overschrijding van de grondwaternorm leiden, worden niet besproken en </w:t>
      </w:r>
      <w:r w:rsidR="00905DD2" w:rsidRPr="006536F4">
        <w:rPr>
          <w:color w:val="262626" w:themeColor="text1" w:themeTint="D9"/>
          <w:sz w:val="21"/>
          <w:szCs w:val="21"/>
        </w:rPr>
        <w:t xml:space="preserve">niet </w:t>
      </w:r>
      <w:r w:rsidRPr="006536F4">
        <w:rPr>
          <w:color w:val="262626" w:themeColor="text1" w:themeTint="D9"/>
          <w:sz w:val="21"/>
          <w:szCs w:val="21"/>
        </w:rPr>
        <w:t xml:space="preserve">beoordeeld. Terwijl er een grote noodzaak is de onherstelbare vervuiling van het grondwater met deze stoffen te stoppen. </w:t>
      </w:r>
      <w:r w:rsidR="009D0C3C" w:rsidRPr="006536F4">
        <w:rPr>
          <w:color w:val="262626" w:themeColor="text1" w:themeTint="D9"/>
          <w:sz w:val="21"/>
          <w:szCs w:val="21"/>
        </w:rPr>
        <w:t>Dit valt dan zo te zien onder het ‘</w:t>
      </w:r>
      <w:proofErr w:type="spellStart"/>
      <w:r w:rsidR="009D0C3C" w:rsidRPr="006536F4">
        <w:rPr>
          <w:color w:val="262626" w:themeColor="text1" w:themeTint="D9"/>
          <w:sz w:val="21"/>
          <w:szCs w:val="21"/>
        </w:rPr>
        <w:t>confirmatory</w:t>
      </w:r>
      <w:proofErr w:type="spellEnd"/>
      <w:r w:rsidR="009D0C3C" w:rsidRPr="006536F4">
        <w:rPr>
          <w:color w:val="262626" w:themeColor="text1" w:themeTint="D9"/>
          <w:sz w:val="21"/>
          <w:szCs w:val="21"/>
        </w:rPr>
        <w:t xml:space="preserve"> information’ regime waar u in uw besluit aan refereert, </w:t>
      </w:r>
      <w:r w:rsidR="00E8388A" w:rsidRPr="006536F4">
        <w:rPr>
          <w:color w:val="262626" w:themeColor="text1" w:themeTint="D9"/>
          <w:sz w:val="21"/>
          <w:szCs w:val="21"/>
        </w:rPr>
        <w:t xml:space="preserve">en </w:t>
      </w:r>
      <w:r w:rsidR="009D0C3C" w:rsidRPr="006536F4">
        <w:rPr>
          <w:color w:val="262626" w:themeColor="text1" w:themeTint="D9"/>
          <w:sz w:val="21"/>
          <w:szCs w:val="21"/>
        </w:rPr>
        <w:t xml:space="preserve">waarvan wij vinden, zoals betoogd </w:t>
      </w:r>
      <w:r w:rsidR="008C13BB" w:rsidRPr="006536F4">
        <w:rPr>
          <w:color w:val="262626" w:themeColor="text1" w:themeTint="D9"/>
          <w:sz w:val="21"/>
          <w:szCs w:val="21"/>
        </w:rPr>
        <w:t>in ons bezwaarschrift van 22 november 2024,</w:t>
      </w:r>
      <w:r w:rsidR="009D0C3C" w:rsidRPr="006536F4">
        <w:rPr>
          <w:color w:val="262626" w:themeColor="text1" w:themeTint="D9"/>
          <w:sz w:val="21"/>
          <w:szCs w:val="21"/>
        </w:rPr>
        <w:t xml:space="preserve"> dat </w:t>
      </w:r>
      <w:r w:rsidR="008C13BB" w:rsidRPr="006536F4">
        <w:rPr>
          <w:color w:val="262626" w:themeColor="text1" w:themeTint="D9"/>
          <w:sz w:val="21"/>
          <w:szCs w:val="21"/>
        </w:rPr>
        <w:t>dit onrechtmatig is.</w:t>
      </w:r>
      <w:r w:rsidR="00905DD2" w:rsidRPr="006536F4">
        <w:rPr>
          <w:color w:val="262626" w:themeColor="text1" w:themeTint="D9"/>
          <w:sz w:val="21"/>
          <w:szCs w:val="21"/>
        </w:rPr>
        <w:t xml:space="preserve"> Ook is dit onderwerp </w:t>
      </w:r>
      <w:r w:rsidR="00E8388A" w:rsidRPr="006536F4">
        <w:rPr>
          <w:color w:val="262626" w:themeColor="text1" w:themeTint="D9"/>
          <w:sz w:val="21"/>
          <w:szCs w:val="21"/>
        </w:rPr>
        <w:t xml:space="preserve">van schadelijke metabolieten </w:t>
      </w:r>
      <w:r w:rsidR="00905DD2" w:rsidRPr="006536F4">
        <w:rPr>
          <w:color w:val="262626" w:themeColor="text1" w:themeTint="D9"/>
          <w:sz w:val="21"/>
          <w:szCs w:val="21"/>
        </w:rPr>
        <w:t>al heel lang bekend bij het Ctgb. PAN heeft er zelfs een procedure over aangespannen in 2016</w:t>
      </w:r>
      <w:r w:rsidR="00D538EA" w:rsidRPr="006536F4">
        <w:rPr>
          <w:color w:val="262626" w:themeColor="text1" w:themeTint="D9"/>
          <w:sz w:val="21"/>
          <w:szCs w:val="21"/>
        </w:rPr>
        <w:t xml:space="preserve"> (Bijlage 3) waar bleek dat de metaboliet THPAM de grondwaternorm met een factor 600 overschrijdt </w:t>
      </w:r>
      <w:r w:rsidR="00905DD2" w:rsidRPr="006536F4">
        <w:rPr>
          <w:color w:val="262626" w:themeColor="text1" w:themeTint="D9"/>
          <w:sz w:val="21"/>
          <w:szCs w:val="21"/>
        </w:rPr>
        <w:t xml:space="preserve">en nog steeds heeft het Ctgb </w:t>
      </w:r>
      <w:r w:rsidR="00D538EA" w:rsidRPr="006536F4">
        <w:rPr>
          <w:color w:val="262626" w:themeColor="text1" w:themeTint="D9"/>
          <w:sz w:val="21"/>
          <w:szCs w:val="21"/>
        </w:rPr>
        <w:t xml:space="preserve">geen beschermingsmaatregelen uitgevaardigd </w:t>
      </w:r>
      <w:r w:rsidR="0028234D" w:rsidRPr="006536F4">
        <w:rPr>
          <w:color w:val="262626" w:themeColor="text1" w:themeTint="D9"/>
          <w:sz w:val="21"/>
          <w:szCs w:val="21"/>
        </w:rPr>
        <w:t>en krijgt de aanvrager nog eens twee jaar om aanvullende documenten in te sturen. Dit is niet echt het hoge beschermingsniveau dat de Verordening garandeert.</w:t>
      </w:r>
    </w:p>
    <w:p w14:paraId="1322B3C9" w14:textId="058C455D" w:rsidR="009418BE" w:rsidRPr="006536F4" w:rsidRDefault="009418BE" w:rsidP="00F4519B">
      <w:pPr>
        <w:rPr>
          <w:color w:val="262626" w:themeColor="text1" w:themeTint="D9"/>
          <w:sz w:val="21"/>
          <w:szCs w:val="21"/>
        </w:rPr>
      </w:pPr>
      <w:r w:rsidRPr="006536F4">
        <w:rPr>
          <w:color w:val="262626" w:themeColor="text1" w:themeTint="D9"/>
          <w:sz w:val="21"/>
          <w:szCs w:val="21"/>
        </w:rPr>
        <w:t>Ook is er geen beoordeling door het Ctgb uitgevoerd naar de effecten op de niet-doelwitorganismen, terwijl EFSA heel duidelijk heeft geconcludeerd</w:t>
      </w:r>
      <w:r w:rsidRPr="006536F4">
        <w:rPr>
          <w:rStyle w:val="Funotenzeichen"/>
          <w:color w:val="262626" w:themeColor="text1" w:themeTint="D9"/>
          <w:sz w:val="21"/>
          <w:szCs w:val="21"/>
        </w:rPr>
        <w:footnoteReference w:id="3"/>
      </w:r>
      <w:r w:rsidRPr="006536F4">
        <w:rPr>
          <w:color w:val="262626" w:themeColor="text1" w:themeTint="D9"/>
          <w:sz w:val="21"/>
          <w:szCs w:val="21"/>
        </w:rPr>
        <w:t xml:space="preserve"> dat hoge risico’s bestaan voor wilde </w:t>
      </w:r>
      <w:r w:rsidR="004666FB" w:rsidRPr="006536F4">
        <w:rPr>
          <w:color w:val="262626" w:themeColor="text1" w:themeTint="D9"/>
          <w:sz w:val="21"/>
          <w:szCs w:val="21"/>
        </w:rPr>
        <w:t>zoogdieren</w:t>
      </w:r>
      <w:r w:rsidRPr="006536F4">
        <w:rPr>
          <w:color w:val="262626" w:themeColor="text1" w:themeTint="D9"/>
          <w:sz w:val="21"/>
          <w:szCs w:val="21"/>
        </w:rPr>
        <w:t xml:space="preserve">, vis, ongewervelde aquatische organismen en </w:t>
      </w:r>
      <w:r w:rsidR="004666FB" w:rsidRPr="006536F4">
        <w:rPr>
          <w:color w:val="262626" w:themeColor="text1" w:themeTint="D9"/>
          <w:sz w:val="21"/>
          <w:szCs w:val="21"/>
        </w:rPr>
        <w:t xml:space="preserve">niet-doelwit </w:t>
      </w:r>
      <w:proofErr w:type="spellStart"/>
      <w:r w:rsidR="004666FB" w:rsidRPr="006536F4">
        <w:rPr>
          <w:color w:val="262626" w:themeColor="text1" w:themeTint="D9"/>
          <w:sz w:val="21"/>
          <w:szCs w:val="21"/>
        </w:rPr>
        <w:t>arthropoden</w:t>
      </w:r>
      <w:proofErr w:type="spellEnd"/>
      <w:r w:rsidR="004666FB" w:rsidRPr="006536F4">
        <w:rPr>
          <w:color w:val="262626" w:themeColor="text1" w:themeTint="D9"/>
          <w:sz w:val="21"/>
          <w:szCs w:val="21"/>
        </w:rPr>
        <w:t xml:space="preserve">, die een veilig gebruik van </w:t>
      </w:r>
      <w:proofErr w:type="spellStart"/>
      <w:r w:rsidR="004666FB" w:rsidRPr="006536F4">
        <w:rPr>
          <w:color w:val="262626" w:themeColor="text1" w:themeTint="D9"/>
          <w:sz w:val="21"/>
          <w:szCs w:val="21"/>
        </w:rPr>
        <w:t>captan</w:t>
      </w:r>
      <w:proofErr w:type="spellEnd"/>
      <w:r w:rsidR="004666FB" w:rsidRPr="006536F4">
        <w:rPr>
          <w:color w:val="262626" w:themeColor="text1" w:themeTint="D9"/>
          <w:sz w:val="21"/>
          <w:szCs w:val="21"/>
        </w:rPr>
        <w:t xml:space="preserve"> in het open veld uitsluiten. Het is dus onmogelijk te concluderen dat de besluiten van 29 januari een veilig gebruik van </w:t>
      </w:r>
      <w:proofErr w:type="spellStart"/>
      <w:r w:rsidR="004666FB" w:rsidRPr="006536F4">
        <w:rPr>
          <w:color w:val="262626" w:themeColor="text1" w:themeTint="D9"/>
          <w:sz w:val="21"/>
          <w:szCs w:val="21"/>
        </w:rPr>
        <w:t>captan</w:t>
      </w:r>
      <w:proofErr w:type="spellEnd"/>
      <w:r w:rsidR="004666FB" w:rsidRPr="006536F4">
        <w:rPr>
          <w:color w:val="262626" w:themeColor="text1" w:themeTint="D9"/>
          <w:sz w:val="21"/>
          <w:szCs w:val="21"/>
        </w:rPr>
        <w:t xml:space="preserve"> garanderen zoals bedoeld in Art. 4 van de </w:t>
      </w:r>
      <w:r w:rsidR="00B60F14" w:rsidRPr="006536F4">
        <w:rPr>
          <w:color w:val="262626" w:themeColor="text1" w:themeTint="D9"/>
          <w:sz w:val="21"/>
          <w:szCs w:val="21"/>
        </w:rPr>
        <w:t>Verordening</w:t>
      </w:r>
      <w:r w:rsidR="0028234D" w:rsidRPr="006536F4">
        <w:rPr>
          <w:color w:val="262626" w:themeColor="text1" w:themeTint="D9"/>
          <w:sz w:val="21"/>
          <w:szCs w:val="21"/>
        </w:rPr>
        <w:t xml:space="preserve"> zonder een nieuwe </w:t>
      </w:r>
      <w:r w:rsidR="000D1AE4" w:rsidRPr="006536F4">
        <w:rPr>
          <w:color w:val="262626" w:themeColor="text1" w:themeTint="D9"/>
          <w:sz w:val="21"/>
          <w:szCs w:val="21"/>
        </w:rPr>
        <w:t>risicoanalyse</w:t>
      </w:r>
      <w:r w:rsidR="0028234D" w:rsidRPr="006536F4">
        <w:rPr>
          <w:color w:val="262626" w:themeColor="text1" w:themeTint="D9"/>
          <w:sz w:val="21"/>
          <w:szCs w:val="21"/>
        </w:rPr>
        <w:t xml:space="preserve"> uit te voeren voor alle genoemde niet-doelwit organismen met de meest recente data van gebruik en emissie.</w:t>
      </w:r>
    </w:p>
    <w:p w14:paraId="6EBE50E7" w14:textId="138EB00E" w:rsidR="007A6205" w:rsidRPr="006536F4" w:rsidRDefault="00A0188C" w:rsidP="00F4519B">
      <w:pPr>
        <w:rPr>
          <w:color w:val="262626" w:themeColor="text1" w:themeTint="D9"/>
          <w:sz w:val="21"/>
          <w:szCs w:val="21"/>
        </w:rPr>
      </w:pPr>
      <w:r w:rsidRPr="006536F4">
        <w:rPr>
          <w:color w:val="262626" w:themeColor="text1" w:themeTint="D9"/>
          <w:sz w:val="21"/>
          <w:szCs w:val="21"/>
        </w:rPr>
        <w:t xml:space="preserve">Het Ctgb heeft </w:t>
      </w:r>
      <w:proofErr w:type="gramStart"/>
      <w:r w:rsidRPr="006536F4">
        <w:rPr>
          <w:color w:val="262626" w:themeColor="text1" w:themeTint="D9"/>
          <w:sz w:val="21"/>
          <w:szCs w:val="21"/>
        </w:rPr>
        <w:t>tevens</w:t>
      </w:r>
      <w:proofErr w:type="gramEnd"/>
      <w:r w:rsidRPr="006536F4">
        <w:rPr>
          <w:color w:val="262626" w:themeColor="text1" w:themeTint="D9"/>
          <w:sz w:val="21"/>
          <w:szCs w:val="21"/>
        </w:rPr>
        <w:t xml:space="preserve"> nagelaten de recente uitspraken van het Europees Hof inzake recente wetenschappelijke inzichten</w:t>
      </w:r>
      <w:r w:rsidR="0028234D" w:rsidRPr="006536F4">
        <w:rPr>
          <w:rStyle w:val="Funotenzeichen"/>
          <w:color w:val="262626" w:themeColor="text1" w:themeTint="D9"/>
          <w:sz w:val="21"/>
          <w:szCs w:val="21"/>
        </w:rPr>
        <w:footnoteReference w:id="4"/>
      </w:r>
      <w:r w:rsidR="00E61665" w:rsidRPr="006536F4">
        <w:rPr>
          <w:color w:val="262626" w:themeColor="text1" w:themeTint="D9"/>
          <w:sz w:val="21"/>
          <w:szCs w:val="21"/>
        </w:rPr>
        <w:t>,</w:t>
      </w:r>
      <w:r w:rsidR="00E61665" w:rsidRPr="006536F4">
        <w:rPr>
          <w:rStyle w:val="Funotenzeichen"/>
          <w:color w:val="262626" w:themeColor="text1" w:themeTint="D9"/>
          <w:sz w:val="21"/>
          <w:szCs w:val="21"/>
        </w:rPr>
        <w:footnoteReference w:id="5"/>
      </w:r>
      <w:r w:rsidRPr="006536F4">
        <w:rPr>
          <w:color w:val="262626" w:themeColor="text1" w:themeTint="D9"/>
          <w:sz w:val="21"/>
          <w:szCs w:val="21"/>
        </w:rPr>
        <w:t xml:space="preserve"> in acht te nemen en heeft geen enkele poging gedaan te kijken naar de meest recente inzichten. Dat had heel makkelijk gekund als het Ctgb de wetenschappelijke literatuur met een simpele zoekmachine</w:t>
      </w:r>
      <w:r w:rsidRPr="006536F4">
        <w:rPr>
          <w:rStyle w:val="Funotenzeichen"/>
          <w:color w:val="262626" w:themeColor="text1" w:themeTint="D9"/>
          <w:sz w:val="21"/>
          <w:szCs w:val="21"/>
        </w:rPr>
        <w:footnoteReference w:id="6"/>
      </w:r>
      <w:r w:rsidR="00E61665" w:rsidRPr="006536F4">
        <w:rPr>
          <w:color w:val="262626" w:themeColor="text1" w:themeTint="D9"/>
          <w:sz w:val="21"/>
          <w:szCs w:val="21"/>
        </w:rPr>
        <w:t xml:space="preserve"> bekeken had.</w:t>
      </w:r>
      <w:r w:rsidRPr="006536F4">
        <w:rPr>
          <w:color w:val="262626" w:themeColor="text1" w:themeTint="D9"/>
          <w:sz w:val="21"/>
          <w:szCs w:val="21"/>
        </w:rPr>
        <w:t xml:space="preserve"> Als ze dat wel had gedaan zou ze bijvoorbeeld zijn gestuit op het artikel van Professor Br</w:t>
      </w:r>
      <w:r w:rsidR="0033755C" w:rsidRPr="006536F4">
        <w:rPr>
          <w:color w:val="262626" w:themeColor="text1" w:themeTint="D9"/>
          <w:sz w:val="21"/>
          <w:szCs w:val="21"/>
        </w:rPr>
        <w:t>ü</w:t>
      </w:r>
      <w:r w:rsidRPr="006536F4">
        <w:rPr>
          <w:color w:val="262626" w:themeColor="text1" w:themeTint="D9"/>
          <w:sz w:val="21"/>
          <w:szCs w:val="21"/>
        </w:rPr>
        <w:t>hl</w:t>
      </w:r>
      <w:r w:rsidRPr="006536F4">
        <w:rPr>
          <w:rStyle w:val="Funotenzeichen"/>
          <w:color w:val="262626" w:themeColor="text1" w:themeTint="D9"/>
          <w:sz w:val="21"/>
          <w:szCs w:val="21"/>
        </w:rPr>
        <w:footnoteReference w:id="7"/>
      </w:r>
      <w:r w:rsidRPr="006536F4">
        <w:rPr>
          <w:color w:val="262626" w:themeColor="text1" w:themeTint="D9"/>
          <w:sz w:val="21"/>
          <w:szCs w:val="21"/>
        </w:rPr>
        <w:t xml:space="preserve"> </w:t>
      </w:r>
      <w:r w:rsidR="008F21C1" w:rsidRPr="006536F4">
        <w:rPr>
          <w:color w:val="262626" w:themeColor="text1" w:themeTint="D9"/>
          <w:sz w:val="21"/>
          <w:szCs w:val="21"/>
        </w:rPr>
        <w:t xml:space="preserve">die aantoont dat bij de normaal gebruikte dosis van een </w:t>
      </w:r>
      <w:proofErr w:type="spellStart"/>
      <w:r w:rsidR="008F21C1" w:rsidRPr="006536F4">
        <w:rPr>
          <w:color w:val="262626" w:themeColor="text1" w:themeTint="D9"/>
          <w:sz w:val="21"/>
          <w:szCs w:val="21"/>
        </w:rPr>
        <w:t>captan</w:t>
      </w:r>
      <w:proofErr w:type="spellEnd"/>
      <w:r w:rsidR="008F21C1" w:rsidRPr="006536F4">
        <w:rPr>
          <w:color w:val="262626" w:themeColor="text1" w:themeTint="D9"/>
          <w:sz w:val="21"/>
          <w:szCs w:val="21"/>
        </w:rPr>
        <w:t xml:space="preserve"> middel kikkers voor 100% sterven bij blootstelling en ook nog 40% bij 1/10</w:t>
      </w:r>
      <w:r w:rsidR="008F21C1" w:rsidRPr="006536F4">
        <w:rPr>
          <w:color w:val="262626" w:themeColor="text1" w:themeTint="D9"/>
          <w:sz w:val="21"/>
          <w:szCs w:val="21"/>
          <w:vertAlign w:val="superscript"/>
        </w:rPr>
        <w:t>e</w:t>
      </w:r>
      <w:r w:rsidR="008F21C1" w:rsidRPr="006536F4">
        <w:rPr>
          <w:color w:val="262626" w:themeColor="text1" w:themeTint="D9"/>
          <w:sz w:val="21"/>
          <w:szCs w:val="21"/>
        </w:rPr>
        <w:t xml:space="preserve"> van de voorgeschreven dosis. </w:t>
      </w:r>
      <w:r w:rsidR="007A6205" w:rsidRPr="006536F4">
        <w:rPr>
          <w:color w:val="262626" w:themeColor="text1" w:themeTint="D9"/>
          <w:sz w:val="21"/>
          <w:szCs w:val="21"/>
        </w:rPr>
        <w:t xml:space="preserve">Verder </w:t>
      </w:r>
      <w:r w:rsidR="00E61665" w:rsidRPr="006536F4">
        <w:rPr>
          <w:color w:val="262626" w:themeColor="text1" w:themeTint="D9"/>
          <w:sz w:val="21"/>
          <w:szCs w:val="21"/>
        </w:rPr>
        <w:t xml:space="preserve">noemen we, als voorbeeld, want het is niet ons werk om de literatuur bij elkaar te zoeken, </w:t>
      </w:r>
      <w:r w:rsidR="002C50C0" w:rsidRPr="006536F4">
        <w:rPr>
          <w:color w:val="262626" w:themeColor="text1" w:themeTint="D9"/>
          <w:sz w:val="21"/>
          <w:szCs w:val="21"/>
        </w:rPr>
        <w:t xml:space="preserve">een </w:t>
      </w:r>
      <w:r w:rsidR="00E61665" w:rsidRPr="006536F4">
        <w:rPr>
          <w:color w:val="262626" w:themeColor="text1" w:themeTint="D9"/>
          <w:sz w:val="21"/>
          <w:szCs w:val="21"/>
        </w:rPr>
        <w:t xml:space="preserve">studie over </w:t>
      </w:r>
      <w:proofErr w:type="spellStart"/>
      <w:r w:rsidR="00E61665" w:rsidRPr="006536F4">
        <w:rPr>
          <w:color w:val="262626" w:themeColor="text1" w:themeTint="D9"/>
          <w:sz w:val="21"/>
          <w:szCs w:val="21"/>
        </w:rPr>
        <w:t>captan</w:t>
      </w:r>
      <w:proofErr w:type="spellEnd"/>
      <w:r w:rsidR="00E61665" w:rsidRPr="006536F4">
        <w:rPr>
          <w:color w:val="262626" w:themeColor="text1" w:themeTint="D9"/>
          <w:sz w:val="21"/>
          <w:szCs w:val="21"/>
        </w:rPr>
        <w:t xml:space="preserve"> en bijen</w:t>
      </w:r>
      <w:r w:rsidR="00E61665" w:rsidRPr="006536F4">
        <w:rPr>
          <w:rStyle w:val="Funotenzeichen"/>
          <w:color w:val="262626" w:themeColor="text1" w:themeTint="D9"/>
          <w:sz w:val="21"/>
          <w:szCs w:val="21"/>
        </w:rPr>
        <w:footnoteReference w:id="8"/>
      </w:r>
      <w:r w:rsidR="00E61665" w:rsidRPr="006536F4">
        <w:rPr>
          <w:color w:val="262626" w:themeColor="text1" w:themeTint="D9"/>
          <w:sz w:val="21"/>
          <w:szCs w:val="21"/>
        </w:rPr>
        <w:t xml:space="preserve"> die la</w:t>
      </w:r>
      <w:r w:rsidR="002C50C0" w:rsidRPr="006536F4">
        <w:rPr>
          <w:color w:val="262626" w:themeColor="text1" w:themeTint="D9"/>
          <w:sz w:val="21"/>
          <w:szCs w:val="21"/>
        </w:rPr>
        <w:t>at</w:t>
      </w:r>
      <w:r w:rsidR="00E61665" w:rsidRPr="006536F4">
        <w:rPr>
          <w:color w:val="262626" w:themeColor="text1" w:themeTint="D9"/>
          <w:sz w:val="21"/>
          <w:szCs w:val="21"/>
        </w:rPr>
        <w:t xml:space="preserve"> zien dat </w:t>
      </w:r>
      <w:proofErr w:type="spellStart"/>
      <w:r w:rsidR="00E61665" w:rsidRPr="006536F4">
        <w:rPr>
          <w:color w:val="262626" w:themeColor="text1" w:themeTint="D9"/>
          <w:sz w:val="21"/>
          <w:szCs w:val="21"/>
        </w:rPr>
        <w:t>captan</w:t>
      </w:r>
      <w:proofErr w:type="spellEnd"/>
      <w:r w:rsidR="00E61665" w:rsidRPr="006536F4">
        <w:rPr>
          <w:color w:val="262626" w:themeColor="text1" w:themeTint="D9"/>
          <w:sz w:val="21"/>
          <w:szCs w:val="21"/>
        </w:rPr>
        <w:t xml:space="preserve"> in hoge mate terecht komt in bijenkasten en </w:t>
      </w:r>
      <w:r w:rsidR="002C50C0" w:rsidRPr="006536F4">
        <w:rPr>
          <w:color w:val="262626" w:themeColor="text1" w:themeTint="D9"/>
          <w:sz w:val="21"/>
          <w:szCs w:val="21"/>
        </w:rPr>
        <w:t xml:space="preserve">dus de vraag oproept hoe dat uitpakt voor de </w:t>
      </w:r>
      <w:r w:rsidR="00E61665" w:rsidRPr="006536F4">
        <w:rPr>
          <w:color w:val="262626" w:themeColor="text1" w:themeTint="D9"/>
          <w:sz w:val="21"/>
          <w:szCs w:val="21"/>
        </w:rPr>
        <w:t>gezondheidseffect</w:t>
      </w:r>
      <w:r w:rsidR="002C50C0" w:rsidRPr="006536F4">
        <w:rPr>
          <w:color w:val="262626" w:themeColor="text1" w:themeTint="D9"/>
          <w:sz w:val="21"/>
          <w:szCs w:val="21"/>
        </w:rPr>
        <w:t>en</w:t>
      </w:r>
      <w:r w:rsidR="00E61665" w:rsidRPr="006536F4">
        <w:rPr>
          <w:color w:val="262626" w:themeColor="text1" w:themeTint="D9"/>
          <w:sz w:val="21"/>
          <w:szCs w:val="21"/>
        </w:rPr>
        <w:t xml:space="preserve"> op bijen</w:t>
      </w:r>
      <w:r w:rsidR="00D538EA" w:rsidRPr="006536F4">
        <w:rPr>
          <w:color w:val="262626" w:themeColor="text1" w:themeTint="D9"/>
          <w:sz w:val="21"/>
          <w:szCs w:val="21"/>
        </w:rPr>
        <w:t xml:space="preserve"> en larven</w:t>
      </w:r>
      <w:r w:rsidR="00E61665" w:rsidRPr="006536F4">
        <w:rPr>
          <w:color w:val="262626" w:themeColor="text1" w:themeTint="D9"/>
          <w:sz w:val="21"/>
          <w:szCs w:val="21"/>
        </w:rPr>
        <w:t xml:space="preserve">. </w:t>
      </w:r>
      <w:r w:rsidR="002C50C0" w:rsidRPr="006536F4">
        <w:rPr>
          <w:color w:val="262626" w:themeColor="text1" w:themeTint="D9"/>
          <w:sz w:val="21"/>
          <w:szCs w:val="21"/>
        </w:rPr>
        <w:t>Of de studie</w:t>
      </w:r>
      <w:r w:rsidR="002C50C0" w:rsidRPr="006536F4">
        <w:rPr>
          <w:rStyle w:val="Funotenzeichen"/>
          <w:color w:val="262626" w:themeColor="text1" w:themeTint="D9"/>
          <w:sz w:val="21"/>
          <w:szCs w:val="21"/>
        </w:rPr>
        <w:footnoteReference w:id="9"/>
      </w:r>
      <w:r w:rsidR="002C50C0" w:rsidRPr="006536F4">
        <w:rPr>
          <w:color w:val="262626" w:themeColor="text1" w:themeTint="D9"/>
          <w:sz w:val="21"/>
          <w:szCs w:val="21"/>
        </w:rPr>
        <w:t xml:space="preserve"> die aangeeft dat blootstelling van proefdieren aan </w:t>
      </w:r>
      <w:proofErr w:type="spellStart"/>
      <w:r w:rsidR="002C50C0" w:rsidRPr="006536F4">
        <w:rPr>
          <w:color w:val="262626" w:themeColor="text1" w:themeTint="D9"/>
          <w:sz w:val="21"/>
          <w:szCs w:val="21"/>
        </w:rPr>
        <w:t>captan</w:t>
      </w:r>
      <w:proofErr w:type="spellEnd"/>
      <w:r w:rsidR="002C50C0" w:rsidRPr="006536F4">
        <w:rPr>
          <w:color w:val="262626" w:themeColor="text1" w:themeTint="D9"/>
          <w:sz w:val="21"/>
          <w:szCs w:val="21"/>
        </w:rPr>
        <w:t xml:space="preserve"> de ovariële homeostase verstoort en vervolgens de ontwikkeling </w:t>
      </w:r>
      <w:r w:rsidR="002C50C0" w:rsidRPr="006536F4">
        <w:rPr>
          <w:color w:val="262626" w:themeColor="text1" w:themeTint="D9"/>
          <w:sz w:val="21"/>
          <w:szCs w:val="21"/>
        </w:rPr>
        <w:lastRenderedPageBreak/>
        <w:t>van eicellen beïnvloedt. Of de studie</w:t>
      </w:r>
      <w:r w:rsidR="002C50C0" w:rsidRPr="006536F4">
        <w:rPr>
          <w:rStyle w:val="Funotenzeichen"/>
          <w:color w:val="262626" w:themeColor="text1" w:themeTint="D9"/>
          <w:sz w:val="21"/>
          <w:szCs w:val="21"/>
        </w:rPr>
        <w:footnoteReference w:id="10"/>
      </w:r>
      <w:r w:rsidR="002C50C0" w:rsidRPr="006536F4">
        <w:rPr>
          <w:color w:val="262626" w:themeColor="text1" w:themeTint="D9"/>
          <w:sz w:val="21"/>
          <w:szCs w:val="21"/>
        </w:rPr>
        <w:t xml:space="preserve"> die laat zien dat blootstelling van zebravis aan </w:t>
      </w:r>
      <w:proofErr w:type="spellStart"/>
      <w:r w:rsidR="002C50C0" w:rsidRPr="006536F4">
        <w:rPr>
          <w:color w:val="262626" w:themeColor="text1" w:themeTint="D9"/>
          <w:sz w:val="21"/>
          <w:szCs w:val="21"/>
        </w:rPr>
        <w:t>captan</w:t>
      </w:r>
      <w:proofErr w:type="spellEnd"/>
      <w:r w:rsidR="002C50C0" w:rsidRPr="006536F4">
        <w:rPr>
          <w:color w:val="262626" w:themeColor="text1" w:themeTint="D9"/>
          <w:sz w:val="21"/>
          <w:szCs w:val="21"/>
        </w:rPr>
        <w:t xml:space="preserve"> leidt tot ontwikkelingsproblemen en misvormingen</w:t>
      </w:r>
      <w:r w:rsidR="0033755C" w:rsidRPr="006536F4">
        <w:rPr>
          <w:color w:val="262626" w:themeColor="text1" w:themeTint="D9"/>
          <w:sz w:val="21"/>
          <w:szCs w:val="21"/>
        </w:rPr>
        <w:t xml:space="preserve"> b</w:t>
      </w:r>
      <w:r w:rsidR="000D1AE4" w:rsidRPr="006536F4">
        <w:rPr>
          <w:color w:val="262626" w:themeColor="text1" w:themeTint="D9"/>
          <w:sz w:val="21"/>
          <w:szCs w:val="21"/>
        </w:rPr>
        <w:t>ij het nageslacht</w:t>
      </w:r>
      <w:r w:rsidR="002C50C0" w:rsidRPr="006536F4">
        <w:rPr>
          <w:color w:val="262626" w:themeColor="text1" w:themeTint="D9"/>
          <w:sz w:val="21"/>
          <w:szCs w:val="21"/>
        </w:rPr>
        <w:t>.</w:t>
      </w:r>
      <w:r w:rsidR="00FC2D8E" w:rsidRPr="006536F4">
        <w:rPr>
          <w:color w:val="262626" w:themeColor="text1" w:themeTint="D9"/>
          <w:sz w:val="21"/>
          <w:szCs w:val="21"/>
        </w:rPr>
        <w:t xml:space="preserve"> Dit is zo maar een greep uit de gepubliceerde studies.</w:t>
      </w:r>
      <w:r w:rsidR="00D538EA" w:rsidRPr="006536F4">
        <w:rPr>
          <w:color w:val="262626" w:themeColor="text1" w:themeTint="D9"/>
          <w:sz w:val="21"/>
          <w:szCs w:val="21"/>
        </w:rPr>
        <w:t xml:space="preserve"> Het Ctgb had alle recente wetenschappelijke studies </w:t>
      </w:r>
      <w:r w:rsidR="000D1AE4" w:rsidRPr="006536F4">
        <w:rPr>
          <w:color w:val="262626" w:themeColor="text1" w:themeTint="D9"/>
          <w:sz w:val="21"/>
          <w:szCs w:val="21"/>
        </w:rPr>
        <w:t xml:space="preserve">zelf </w:t>
      </w:r>
      <w:r w:rsidR="00D538EA" w:rsidRPr="006536F4">
        <w:rPr>
          <w:color w:val="262626" w:themeColor="text1" w:themeTint="D9"/>
          <w:sz w:val="21"/>
          <w:szCs w:val="21"/>
        </w:rPr>
        <w:t>moeten verzamelen om in staat te zijn een wetenschappelijke beoordeling te maken op basis van de meest recente inzichten. Zoals het EU Hof heeft bepaald.</w:t>
      </w:r>
    </w:p>
    <w:p w14:paraId="689B6B6B" w14:textId="144BAA1A" w:rsidR="008C13BB" w:rsidRPr="006536F4" w:rsidRDefault="008C13BB" w:rsidP="00F4519B">
      <w:pPr>
        <w:rPr>
          <w:color w:val="262626" w:themeColor="text1" w:themeTint="D9"/>
          <w:sz w:val="21"/>
          <w:szCs w:val="21"/>
        </w:rPr>
      </w:pPr>
      <w:r w:rsidRPr="006536F4">
        <w:rPr>
          <w:color w:val="262626" w:themeColor="text1" w:themeTint="D9"/>
          <w:sz w:val="21"/>
          <w:szCs w:val="21"/>
        </w:rPr>
        <w:t xml:space="preserve">Het Ctgb heeft wel bepaald in de besluiten van 29 januari dat er geen bloeiende onkruiden mogen voorkomen bij de bespuitingen. Gezien het aantal bespuitingen met </w:t>
      </w:r>
      <w:proofErr w:type="spellStart"/>
      <w:r w:rsidRPr="006536F4">
        <w:rPr>
          <w:color w:val="262626" w:themeColor="text1" w:themeTint="D9"/>
          <w:sz w:val="21"/>
          <w:szCs w:val="21"/>
        </w:rPr>
        <w:t>Captan</w:t>
      </w:r>
      <w:proofErr w:type="spellEnd"/>
      <w:r w:rsidRPr="006536F4">
        <w:rPr>
          <w:color w:val="262626" w:themeColor="text1" w:themeTint="D9"/>
          <w:sz w:val="21"/>
          <w:szCs w:val="21"/>
        </w:rPr>
        <w:t>, tot 15x per seizoen, betekent dit de volledige uitroeiing van kruiden en bloemen</w:t>
      </w:r>
      <w:r w:rsidR="00FC2D8E" w:rsidRPr="006536F4">
        <w:rPr>
          <w:color w:val="262626" w:themeColor="text1" w:themeTint="D9"/>
          <w:sz w:val="21"/>
          <w:szCs w:val="21"/>
        </w:rPr>
        <w:t xml:space="preserve"> in het veld</w:t>
      </w:r>
      <w:r w:rsidRPr="006536F4">
        <w:rPr>
          <w:color w:val="262626" w:themeColor="text1" w:themeTint="D9"/>
          <w:sz w:val="21"/>
          <w:szCs w:val="21"/>
        </w:rPr>
        <w:t xml:space="preserve">. Het Ctgb heeft </w:t>
      </w:r>
      <w:r w:rsidR="00D538EA" w:rsidRPr="006536F4">
        <w:rPr>
          <w:color w:val="262626" w:themeColor="text1" w:themeTint="D9"/>
          <w:sz w:val="21"/>
          <w:szCs w:val="21"/>
        </w:rPr>
        <w:t xml:space="preserve">echter </w:t>
      </w:r>
      <w:r w:rsidRPr="006536F4">
        <w:rPr>
          <w:color w:val="262626" w:themeColor="text1" w:themeTint="D9"/>
          <w:sz w:val="21"/>
          <w:szCs w:val="21"/>
        </w:rPr>
        <w:t xml:space="preserve">nagelaten te beoordelen wat dit betekent voor de indirecte effecten op de ecosystemen en biodiversiteit zoals bepaald is in Art. 4.3.e. Geen bloemen en kruiden betekent dat er voor bijv. vele </w:t>
      </w:r>
      <w:r w:rsidR="00D538EA" w:rsidRPr="006536F4">
        <w:rPr>
          <w:color w:val="262626" w:themeColor="text1" w:themeTint="D9"/>
          <w:sz w:val="21"/>
          <w:szCs w:val="21"/>
        </w:rPr>
        <w:t>geleedpotigen</w:t>
      </w:r>
      <w:r w:rsidRPr="006536F4">
        <w:rPr>
          <w:color w:val="262626" w:themeColor="text1" w:themeTint="D9"/>
          <w:sz w:val="21"/>
          <w:szCs w:val="21"/>
        </w:rPr>
        <w:t xml:space="preserve"> de basis van het bestaan is verdwenen, net zoals voor organismen in hogere trofische niveau (bijv</w:t>
      </w:r>
      <w:r w:rsidR="00D538EA" w:rsidRPr="006536F4">
        <w:rPr>
          <w:color w:val="262626" w:themeColor="text1" w:themeTint="D9"/>
          <w:sz w:val="21"/>
          <w:szCs w:val="21"/>
        </w:rPr>
        <w:t>.</w:t>
      </w:r>
      <w:r w:rsidRPr="006536F4">
        <w:rPr>
          <w:color w:val="262626" w:themeColor="text1" w:themeTint="D9"/>
          <w:sz w:val="21"/>
          <w:szCs w:val="21"/>
        </w:rPr>
        <w:t xml:space="preserve"> </w:t>
      </w:r>
      <w:proofErr w:type="gramStart"/>
      <w:r w:rsidRPr="006536F4">
        <w:rPr>
          <w:color w:val="262626" w:themeColor="text1" w:themeTint="D9"/>
          <w:sz w:val="21"/>
          <w:szCs w:val="21"/>
        </w:rPr>
        <w:t>insecten etende</w:t>
      </w:r>
      <w:proofErr w:type="gramEnd"/>
      <w:r w:rsidRPr="006536F4">
        <w:rPr>
          <w:color w:val="262626" w:themeColor="text1" w:themeTint="D9"/>
          <w:sz w:val="21"/>
          <w:szCs w:val="21"/>
        </w:rPr>
        <w:t xml:space="preserve"> vogels en zoogdieren) het geval zal zijn. Dit is ook een duidelijk gebrek aan de besluiten.</w:t>
      </w:r>
      <w:r w:rsidR="00FC2D8E" w:rsidRPr="006536F4">
        <w:rPr>
          <w:color w:val="262626" w:themeColor="text1" w:themeTint="D9"/>
          <w:sz w:val="21"/>
          <w:szCs w:val="21"/>
        </w:rPr>
        <w:t xml:space="preserve"> Tegelijk mogen bloeiende kruiden blijkbaar wel voorkomen naast de bespoten velden</w:t>
      </w:r>
      <w:r w:rsidR="00D538EA" w:rsidRPr="006536F4">
        <w:rPr>
          <w:color w:val="262626" w:themeColor="text1" w:themeTint="D9"/>
          <w:sz w:val="21"/>
          <w:szCs w:val="21"/>
        </w:rPr>
        <w:t xml:space="preserve"> (of naast de rijen)</w:t>
      </w:r>
      <w:r w:rsidR="00FC2D8E" w:rsidRPr="006536F4">
        <w:rPr>
          <w:color w:val="262626" w:themeColor="text1" w:themeTint="D9"/>
          <w:sz w:val="21"/>
          <w:szCs w:val="21"/>
        </w:rPr>
        <w:t xml:space="preserve">. Dat werpt de vraag op of bijen en andere bezoekers van (bloeiende) kruiden gevrijwaard blijven van blootstelling aan </w:t>
      </w:r>
      <w:proofErr w:type="spellStart"/>
      <w:r w:rsidR="00FC2D8E" w:rsidRPr="006536F4">
        <w:rPr>
          <w:color w:val="262626" w:themeColor="text1" w:themeTint="D9"/>
          <w:sz w:val="21"/>
          <w:szCs w:val="21"/>
        </w:rPr>
        <w:t>captan</w:t>
      </w:r>
      <w:proofErr w:type="spellEnd"/>
      <w:r w:rsidR="000D1AE4" w:rsidRPr="006536F4">
        <w:rPr>
          <w:color w:val="262626" w:themeColor="text1" w:themeTint="D9"/>
          <w:sz w:val="21"/>
          <w:szCs w:val="21"/>
        </w:rPr>
        <w:t xml:space="preserve"> (door overwaaien)</w:t>
      </w:r>
      <w:r w:rsidR="00FC2D8E" w:rsidRPr="006536F4">
        <w:rPr>
          <w:color w:val="262626" w:themeColor="text1" w:themeTint="D9"/>
          <w:sz w:val="21"/>
          <w:szCs w:val="21"/>
        </w:rPr>
        <w:t xml:space="preserve">. Het Ctgb heeft nagelaten hierover een </w:t>
      </w:r>
      <w:r w:rsidR="000D1AE4" w:rsidRPr="006536F4">
        <w:rPr>
          <w:color w:val="262626" w:themeColor="text1" w:themeTint="D9"/>
          <w:sz w:val="21"/>
          <w:szCs w:val="21"/>
        </w:rPr>
        <w:t>risicoanalyse</w:t>
      </w:r>
      <w:r w:rsidR="00FC2D8E" w:rsidRPr="006536F4">
        <w:rPr>
          <w:color w:val="262626" w:themeColor="text1" w:themeTint="D9"/>
          <w:sz w:val="21"/>
          <w:szCs w:val="21"/>
        </w:rPr>
        <w:t xml:space="preserve"> uit te voeren.</w:t>
      </w:r>
    </w:p>
    <w:p w14:paraId="3241EE24" w14:textId="1CB7DA47" w:rsidR="00A0188C" w:rsidRPr="006536F4" w:rsidRDefault="00D538EA" w:rsidP="00F4519B">
      <w:pPr>
        <w:rPr>
          <w:color w:val="262626" w:themeColor="text1" w:themeTint="D9"/>
          <w:sz w:val="21"/>
          <w:szCs w:val="21"/>
        </w:rPr>
      </w:pPr>
      <w:r w:rsidRPr="006536F4">
        <w:rPr>
          <w:color w:val="262626" w:themeColor="text1" w:themeTint="D9"/>
          <w:sz w:val="21"/>
          <w:szCs w:val="21"/>
        </w:rPr>
        <w:t xml:space="preserve">Om al deze redenen menen wij dat de wijzigingsbesluiten van de </w:t>
      </w:r>
      <w:proofErr w:type="spellStart"/>
      <w:r w:rsidRPr="006536F4">
        <w:rPr>
          <w:color w:val="262626" w:themeColor="text1" w:themeTint="D9"/>
          <w:sz w:val="21"/>
          <w:szCs w:val="21"/>
        </w:rPr>
        <w:t>captan</w:t>
      </w:r>
      <w:proofErr w:type="spellEnd"/>
      <w:r w:rsidRPr="006536F4">
        <w:rPr>
          <w:color w:val="262626" w:themeColor="text1" w:themeTint="D9"/>
          <w:sz w:val="21"/>
          <w:szCs w:val="21"/>
        </w:rPr>
        <w:t xml:space="preserve"> middelen niet in stand kunnen blijven en dat intrekking van alle </w:t>
      </w:r>
      <w:proofErr w:type="spellStart"/>
      <w:r w:rsidRPr="006536F4">
        <w:rPr>
          <w:color w:val="262626" w:themeColor="text1" w:themeTint="D9"/>
          <w:sz w:val="21"/>
          <w:szCs w:val="21"/>
        </w:rPr>
        <w:t>captan</w:t>
      </w:r>
      <w:proofErr w:type="spellEnd"/>
      <w:r w:rsidRPr="006536F4">
        <w:rPr>
          <w:color w:val="262626" w:themeColor="text1" w:themeTint="D9"/>
          <w:sz w:val="21"/>
          <w:szCs w:val="21"/>
        </w:rPr>
        <w:t xml:space="preserve"> middelen de enige wetenschappelijke en juridische juiste weg is.</w:t>
      </w:r>
    </w:p>
    <w:p w14:paraId="328E2D89" w14:textId="13759CF1" w:rsidR="00086738" w:rsidRPr="006536F4" w:rsidRDefault="00D538EA" w:rsidP="00F4519B">
      <w:pPr>
        <w:rPr>
          <w:color w:val="262626" w:themeColor="text1" w:themeTint="D9"/>
          <w:sz w:val="21"/>
          <w:szCs w:val="21"/>
        </w:rPr>
      </w:pPr>
      <w:r w:rsidRPr="006536F4">
        <w:rPr>
          <w:color w:val="262626" w:themeColor="text1" w:themeTint="D9"/>
          <w:sz w:val="21"/>
          <w:szCs w:val="21"/>
        </w:rPr>
        <w:t>Wij vragen u all</w:t>
      </w:r>
      <w:r w:rsidR="00EB435B" w:rsidRPr="006536F4">
        <w:rPr>
          <w:color w:val="262626" w:themeColor="text1" w:themeTint="D9"/>
          <w:sz w:val="21"/>
          <w:szCs w:val="21"/>
        </w:rPr>
        <w:t>e</w:t>
      </w:r>
      <w:r w:rsidRPr="006536F4">
        <w:rPr>
          <w:color w:val="262626" w:themeColor="text1" w:themeTint="D9"/>
          <w:sz w:val="21"/>
          <w:szCs w:val="21"/>
        </w:rPr>
        <w:t xml:space="preserve"> </w:t>
      </w:r>
      <w:proofErr w:type="spellStart"/>
      <w:r w:rsidRPr="006536F4">
        <w:rPr>
          <w:color w:val="262626" w:themeColor="text1" w:themeTint="D9"/>
          <w:sz w:val="21"/>
          <w:szCs w:val="21"/>
        </w:rPr>
        <w:t>captan</w:t>
      </w:r>
      <w:proofErr w:type="spellEnd"/>
      <w:r w:rsidRPr="006536F4">
        <w:rPr>
          <w:color w:val="262626" w:themeColor="text1" w:themeTint="D9"/>
          <w:sz w:val="21"/>
          <w:szCs w:val="21"/>
        </w:rPr>
        <w:t xml:space="preserve"> middelen in te trekken</w:t>
      </w:r>
      <w:r w:rsidR="00086738">
        <w:rPr>
          <w:color w:val="262626" w:themeColor="text1" w:themeTint="D9"/>
          <w:sz w:val="21"/>
          <w:szCs w:val="21"/>
        </w:rPr>
        <w:t>.</w:t>
      </w:r>
    </w:p>
    <w:p w14:paraId="73100400" w14:textId="512C7F00" w:rsidR="00EB435B" w:rsidRDefault="00984154" w:rsidP="00F4519B">
      <w:pPr>
        <w:rPr>
          <w:color w:val="262626" w:themeColor="text1" w:themeTint="D9"/>
          <w:sz w:val="21"/>
          <w:szCs w:val="21"/>
        </w:rPr>
      </w:pPr>
      <w:r>
        <w:rPr>
          <w:color w:val="262626" w:themeColor="text1" w:themeTint="D9"/>
          <w:sz w:val="21"/>
          <w:szCs w:val="21"/>
        </w:rPr>
        <w:t>Met vriendelijk</w:t>
      </w:r>
      <w:r w:rsidR="00086738">
        <w:rPr>
          <w:color w:val="262626" w:themeColor="text1" w:themeTint="D9"/>
          <w:sz w:val="21"/>
          <w:szCs w:val="21"/>
        </w:rPr>
        <w:t>e</w:t>
      </w:r>
      <w:r>
        <w:rPr>
          <w:color w:val="262626" w:themeColor="text1" w:themeTint="D9"/>
          <w:sz w:val="21"/>
          <w:szCs w:val="21"/>
        </w:rPr>
        <w:t xml:space="preserve"> groet,</w:t>
      </w:r>
    </w:p>
    <w:p w14:paraId="1C47A640" w14:textId="77777777" w:rsidR="00B7702A" w:rsidRDefault="00B7702A" w:rsidP="00B7702A">
      <w:pPr>
        <w:rPr>
          <w:color w:val="262626" w:themeColor="text1" w:themeTint="D9"/>
          <w:sz w:val="21"/>
          <w:szCs w:val="21"/>
        </w:rPr>
      </w:pPr>
      <w:r>
        <w:rPr>
          <w:noProof/>
          <w:color w:val="262626" w:themeColor="text1" w:themeTint="D9"/>
          <w:sz w:val="21"/>
          <w:szCs w:val="21"/>
        </w:rPr>
        <w:drawing>
          <wp:inline distT="0" distB="0" distL="0" distR="0" wp14:anchorId="576B1C0D" wp14:editId="509500AD">
            <wp:extent cx="1194675" cy="781134"/>
            <wp:effectExtent l="0" t="0" r="0" b="0"/>
            <wp:docPr id="1443110822" name="Grafik 1" descr="Ein Bild, das Entwurf, Zeichnung, Kalligrafie,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110822" name="Grafik 1" descr="Ein Bild, das Entwurf, Zeichnung, Kalligrafie, Typografi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4675" cy="781134"/>
                    </a:xfrm>
                    <a:prstGeom prst="rect">
                      <a:avLst/>
                    </a:prstGeom>
                  </pic:spPr>
                </pic:pic>
              </a:graphicData>
            </a:graphic>
          </wp:inline>
        </w:drawing>
      </w:r>
    </w:p>
    <w:p w14:paraId="3BFE6376" w14:textId="544954D1" w:rsidR="00EB435B" w:rsidRPr="006536F4" w:rsidRDefault="00EB435B" w:rsidP="00B7702A">
      <w:pPr>
        <w:rPr>
          <w:color w:val="262626" w:themeColor="text1" w:themeTint="D9"/>
          <w:sz w:val="21"/>
          <w:szCs w:val="21"/>
        </w:rPr>
      </w:pPr>
      <w:r w:rsidRPr="006536F4">
        <w:rPr>
          <w:color w:val="262626" w:themeColor="text1" w:themeTint="D9"/>
          <w:sz w:val="21"/>
          <w:szCs w:val="21"/>
        </w:rPr>
        <w:t>PAN Nederland</w:t>
      </w:r>
    </w:p>
    <w:p w14:paraId="04074BE4" w14:textId="183754D7" w:rsidR="00EB435B" w:rsidRPr="006536F4" w:rsidRDefault="00EB435B" w:rsidP="0033755C">
      <w:pPr>
        <w:spacing w:after="0"/>
        <w:rPr>
          <w:color w:val="262626" w:themeColor="text1" w:themeTint="D9"/>
          <w:sz w:val="21"/>
          <w:szCs w:val="21"/>
        </w:rPr>
      </w:pPr>
      <w:r w:rsidRPr="006536F4">
        <w:rPr>
          <w:color w:val="262626" w:themeColor="text1" w:themeTint="D9"/>
          <w:sz w:val="21"/>
          <w:szCs w:val="21"/>
        </w:rPr>
        <w:t>M</w:t>
      </w:r>
      <w:r w:rsidR="0033755C" w:rsidRPr="006536F4">
        <w:rPr>
          <w:color w:val="262626" w:themeColor="text1" w:themeTint="D9"/>
          <w:sz w:val="21"/>
          <w:szCs w:val="21"/>
        </w:rPr>
        <w:t>. Mantingh</w:t>
      </w:r>
    </w:p>
    <w:p w14:paraId="2E0D95D4" w14:textId="53ECFC25" w:rsidR="0033755C" w:rsidRPr="006536F4" w:rsidRDefault="0033755C" w:rsidP="0033755C">
      <w:pPr>
        <w:spacing w:after="0"/>
        <w:rPr>
          <w:color w:val="262626" w:themeColor="text1" w:themeTint="D9"/>
          <w:sz w:val="21"/>
          <w:szCs w:val="21"/>
        </w:rPr>
      </w:pPr>
      <w:r w:rsidRPr="006536F4">
        <w:rPr>
          <w:color w:val="262626" w:themeColor="text1" w:themeTint="D9"/>
          <w:sz w:val="21"/>
          <w:szCs w:val="21"/>
        </w:rPr>
        <w:t>06 12532813</w:t>
      </w:r>
    </w:p>
    <w:p w14:paraId="3CEE481E" w14:textId="77777777" w:rsidR="00D538EA" w:rsidRPr="006536F4" w:rsidRDefault="00D538EA" w:rsidP="00F4519B">
      <w:pPr>
        <w:rPr>
          <w:color w:val="262626" w:themeColor="text1" w:themeTint="D9"/>
          <w:sz w:val="21"/>
          <w:szCs w:val="21"/>
        </w:rPr>
      </w:pPr>
    </w:p>
    <w:p w14:paraId="0A5A84CB" w14:textId="77777777" w:rsidR="008E02E9" w:rsidRPr="006536F4" w:rsidRDefault="008E02E9" w:rsidP="00F4519B">
      <w:pPr>
        <w:rPr>
          <w:color w:val="262626" w:themeColor="text1" w:themeTint="D9"/>
          <w:sz w:val="21"/>
          <w:szCs w:val="21"/>
        </w:rPr>
      </w:pPr>
    </w:p>
    <w:p w14:paraId="52C50D86" w14:textId="77777777" w:rsidR="008E02E9" w:rsidRPr="006536F4" w:rsidRDefault="008E02E9" w:rsidP="00F4519B">
      <w:pPr>
        <w:rPr>
          <w:color w:val="262626" w:themeColor="text1" w:themeTint="D9"/>
          <w:sz w:val="21"/>
          <w:szCs w:val="21"/>
        </w:rPr>
      </w:pPr>
    </w:p>
    <w:sectPr w:rsidR="008E02E9" w:rsidRPr="006536F4" w:rsidSect="006536F4">
      <w:footerReference w:type="even" r:id="rId10"/>
      <w:footerReference w:type="default" r:id="rId11"/>
      <w:pgSz w:w="11906" w:h="16838"/>
      <w:pgMar w:top="1417" w:right="1417" w:bottom="1347"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6F7B3" w14:textId="77777777" w:rsidR="00404651" w:rsidRDefault="00404651" w:rsidP="009418BE">
      <w:pPr>
        <w:spacing w:after="0" w:line="240" w:lineRule="auto"/>
      </w:pPr>
      <w:r>
        <w:separator/>
      </w:r>
    </w:p>
  </w:endnote>
  <w:endnote w:type="continuationSeparator" w:id="0">
    <w:p w14:paraId="7555F25F" w14:textId="77777777" w:rsidR="00404651" w:rsidRDefault="00404651" w:rsidP="0094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2135206948"/>
      <w:docPartObj>
        <w:docPartGallery w:val="Page Numbers (Bottom of Page)"/>
        <w:docPartUnique/>
      </w:docPartObj>
    </w:sdtPr>
    <w:sdtContent>
      <w:p w14:paraId="531AC6A9" w14:textId="60B04026" w:rsidR="00086738" w:rsidRDefault="00086738" w:rsidP="00254E6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5114899" w14:textId="77777777" w:rsidR="00086738" w:rsidRDefault="00086738" w:rsidP="000867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950236778"/>
      <w:docPartObj>
        <w:docPartGallery w:val="Page Numbers (Bottom of Page)"/>
        <w:docPartUnique/>
      </w:docPartObj>
    </w:sdtPr>
    <w:sdtContent>
      <w:p w14:paraId="212F0459" w14:textId="670D07BC" w:rsidR="00086738" w:rsidRPr="00B7702A" w:rsidRDefault="00086738" w:rsidP="00086738">
        <w:pPr>
          <w:pStyle w:val="Fuzeile"/>
          <w:framePr w:wrap="none" w:vAnchor="text" w:hAnchor="page" w:x="10366" w:y="225"/>
          <w:rPr>
            <w:rStyle w:val="Seitenzahl"/>
            <w:lang w:val="en-US"/>
          </w:rPr>
        </w:pPr>
        <w:r>
          <w:rPr>
            <w:rStyle w:val="Seitenzahl"/>
          </w:rPr>
          <w:fldChar w:fldCharType="begin"/>
        </w:r>
        <w:r w:rsidRPr="00B7702A">
          <w:rPr>
            <w:rStyle w:val="Seitenzahl"/>
            <w:lang w:val="en-US"/>
          </w:rPr>
          <w:instrText xml:space="preserve"> PAGE </w:instrText>
        </w:r>
        <w:r>
          <w:rPr>
            <w:rStyle w:val="Seitenzahl"/>
          </w:rPr>
          <w:fldChar w:fldCharType="separate"/>
        </w:r>
        <w:r w:rsidRPr="00B7702A">
          <w:rPr>
            <w:rStyle w:val="Seitenzahl"/>
            <w:noProof/>
            <w:lang w:val="en-US"/>
          </w:rPr>
          <w:t>3</w:t>
        </w:r>
        <w:r>
          <w:rPr>
            <w:rStyle w:val="Seitenzahl"/>
          </w:rPr>
          <w:fldChar w:fldCharType="end"/>
        </w:r>
        <w:r w:rsidRPr="00B7702A">
          <w:rPr>
            <w:rStyle w:val="Seitenzahl"/>
            <w:lang w:val="en-US"/>
          </w:rPr>
          <w:t>/3</w:t>
        </w:r>
      </w:p>
    </w:sdtContent>
  </w:sdt>
  <w:p w14:paraId="05BDBBDA" w14:textId="77777777" w:rsidR="006536F4" w:rsidRDefault="006536F4" w:rsidP="006536F4">
    <w:pPr>
      <w:pStyle w:val="Fuzeile"/>
      <w:ind w:right="360"/>
      <w:jc w:val="center"/>
      <w:rPr>
        <w:rFonts w:ascii="Open Sans" w:hAnsi="Open Sans" w:cs="Open Sans"/>
        <w:color w:val="0D0D0D" w:themeColor="text1" w:themeTint="F2"/>
        <w:sz w:val="20"/>
        <w:szCs w:val="20"/>
        <w:lang w:val="en-US"/>
      </w:rPr>
    </w:pPr>
  </w:p>
  <w:p w14:paraId="04D2BC69" w14:textId="5881C70A" w:rsidR="006536F4" w:rsidRPr="006536F4" w:rsidRDefault="006536F4" w:rsidP="006536F4">
    <w:pPr>
      <w:pStyle w:val="Fuzeile"/>
      <w:ind w:right="360"/>
      <w:jc w:val="center"/>
      <w:rPr>
        <w:rFonts w:cstheme="minorHAnsi"/>
        <w:color w:val="0D0D0D" w:themeColor="text1" w:themeTint="F2"/>
        <w:sz w:val="21"/>
        <w:szCs w:val="21"/>
        <w:lang w:val="en-US"/>
      </w:rPr>
    </w:pPr>
    <w:r w:rsidRPr="006536F4">
      <w:rPr>
        <w:rFonts w:cstheme="minorHAnsi"/>
        <w:color w:val="0D0D0D" w:themeColor="text1" w:themeTint="F2"/>
        <w:sz w:val="21"/>
        <w:szCs w:val="21"/>
        <w:lang w:val="en-US"/>
      </w:rPr>
      <w:t xml:space="preserve">Pesticide Action Network Netherlands l ANBI-RSIN: 8611 93 581 l </w:t>
    </w:r>
    <w:proofErr w:type="spellStart"/>
    <w:r w:rsidRPr="006536F4">
      <w:rPr>
        <w:rFonts w:cstheme="minorHAnsi"/>
        <w:color w:val="0D0D0D" w:themeColor="text1" w:themeTint="F2"/>
        <w:sz w:val="21"/>
        <w:szCs w:val="21"/>
        <w:lang w:val="en-US"/>
      </w:rPr>
      <w:t>KvK-nummer</w:t>
    </w:r>
    <w:proofErr w:type="spellEnd"/>
    <w:r w:rsidRPr="006536F4">
      <w:rPr>
        <w:rFonts w:cstheme="minorHAnsi"/>
        <w:color w:val="0D0D0D" w:themeColor="text1" w:themeTint="F2"/>
        <w:sz w:val="21"/>
        <w:szCs w:val="21"/>
        <w:lang w:val="en-US"/>
      </w:rPr>
      <w:t xml:space="preserve">: 77908627 </w:t>
    </w:r>
  </w:p>
  <w:p w14:paraId="2392C97C" w14:textId="77777777" w:rsidR="006536F4" w:rsidRPr="006536F4" w:rsidRDefault="006536F4" w:rsidP="006536F4">
    <w:pPr>
      <w:pStyle w:val="Fuzeile"/>
      <w:jc w:val="center"/>
      <w:rPr>
        <w:rFonts w:cstheme="minorHAnsi"/>
        <w:color w:val="0D0D0D" w:themeColor="text1" w:themeTint="F2"/>
        <w:sz w:val="21"/>
        <w:szCs w:val="21"/>
        <w:lang w:val="en-US"/>
      </w:rPr>
    </w:pPr>
    <w:r w:rsidRPr="006536F4">
      <w:rPr>
        <w:rFonts w:cstheme="minorHAnsi"/>
        <w:color w:val="0D0D0D" w:themeColor="text1" w:themeTint="F2"/>
        <w:sz w:val="21"/>
        <w:szCs w:val="21"/>
        <w:lang w:val="en-US"/>
      </w:rPr>
      <w:t>IBAN NL02 TRIO 0788 9402 87</w:t>
    </w:r>
  </w:p>
  <w:p w14:paraId="2C5C9F23" w14:textId="77777777" w:rsidR="006536F4" w:rsidRPr="006536F4" w:rsidRDefault="006536F4">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0E5E6" w14:textId="77777777" w:rsidR="00404651" w:rsidRDefault="00404651" w:rsidP="009418BE">
      <w:pPr>
        <w:spacing w:after="0" w:line="240" w:lineRule="auto"/>
      </w:pPr>
      <w:r>
        <w:separator/>
      </w:r>
    </w:p>
  </w:footnote>
  <w:footnote w:type="continuationSeparator" w:id="0">
    <w:p w14:paraId="057D3EFA" w14:textId="77777777" w:rsidR="00404651" w:rsidRDefault="00404651" w:rsidP="009418BE">
      <w:pPr>
        <w:spacing w:after="0" w:line="240" w:lineRule="auto"/>
      </w:pPr>
      <w:r>
        <w:continuationSeparator/>
      </w:r>
    </w:p>
  </w:footnote>
  <w:footnote w:id="1">
    <w:p w14:paraId="55A1041D" w14:textId="7549A845" w:rsidR="00905DD2" w:rsidRPr="0033755C" w:rsidRDefault="00905DD2">
      <w:pPr>
        <w:pStyle w:val="Funotentext"/>
      </w:pPr>
      <w:r>
        <w:rPr>
          <w:rStyle w:val="Funotenzeichen"/>
        </w:rPr>
        <w:footnoteRef/>
      </w:r>
      <w:r w:rsidRPr="0033755C">
        <w:t xml:space="preserve"> </w:t>
      </w:r>
      <w:hyperlink r:id="rId1" w:tgtFrame="_blank" w:history="1">
        <w:r w:rsidRPr="0033755C">
          <w:rPr>
            <w:rStyle w:val="Hyperlink"/>
          </w:rPr>
          <w:t>Staatscourant 2025, 3460 | Overheid.nl &gt; Officiële bekendmakingen</w:t>
        </w:r>
      </w:hyperlink>
    </w:p>
  </w:footnote>
  <w:footnote w:id="2">
    <w:p w14:paraId="3DFBACA6" w14:textId="27B237DD" w:rsidR="00E8388A" w:rsidRPr="0033755C" w:rsidRDefault="00E8388A">
      <w:pPr>
        <w:pStyle w:val="Funotentext"/>
      </w:pPr>
      <w:r>
        <w:rPr>
          <w:rStyle w:val="Funotenzeichen"/>
        </w:rPr>
        <w:footnoteRef/>
      </w:r>
      <w:r w:rsidRPr="0033755C">
        <w:t xml:space="preserve"> </w:t>
      </w:r>
      <w:hyperlink r:id="rId2" w:history="1">
        <w:r w:rsidRPr="0033755C">
          <w:rPr>
            <w:rStyle w:val="Hyperlink"/>
          </w:rPr>
          <w:t>https://www.efsa.europa.eu/en/efsajournal/pub/8576</w:t>
        </w:r>
      </w:hyperlink>
    </w:p>
  </w:footnote>
  <w:footnote w:id="3">
    <w:p w14:paraId="3E2A49E4" w14:textId="0E46FEF7" w:rsidR="009418BE" w:rsidRPr="00984154" w:rsidRDefault="009418BE" w:rsidP="009418BE">
      <w:pPr>
        <w:pStyle w:val="Funotentext"/>
        <w:rPr>
          <w:color w:val="0D0D0D" w:themeColor="text1" w:themeTint="F2"/>
          <w:lang w:val="en-GB"/>
        </w:rPr>
      </w:pPr>
      <w:r w:rsidRPr="00984154">
        <w:rPr>
          <w:rStyle w:val="Funotenzeichen"/>
          <w:color w:val="0D0D0D" w:themeColor="text1" w:themeTint="F2"/>
        </w:rPr>
        <w:footnoteRef/>
      </w:r>
      <w:r w:rsidRPr="00984154">
        <w:rPr>
          <w:color w:val="0D0D0D" w:themeColor="text1" w:themeTint="F2"/>
          <w:lang w:val="en-GB"/>
        </w:rPr>
        <w:t xml:space="preserve"> It must be noted that if the condition for the approval regarding the ecotoxicological risk</w:t>
      </w:r>
      <w:r w:rsidR="00B60F14" w:rsidRPr="00984154">
        <w:rPr>
          <w:color w:val="0D0D0D" w:themeColor="text1" w:themeTint="F2"/>
          <w:lang w:val="en-GB"/>
        </w:rPr>
        <w:t xml:space="preserve"> </w:t>
      </w:r>
      <w:r w:rsidRPr="00984154">
        <w:rPr>
          <w:color w:val="0D0D0D" w:themeColor="text1" w:themeTint="F2"/>
          <w:lang w:val="en-GB"/>
        </w:rPr>
        <w:t>assessment (walk-in tunnels must remain closed from the time of application until harvest) is not</w:t>
      </w:r>
    </w:p>
    <w:p w14:paraId="77617D73" w14:textId="77777777" w:rsidR="009418BE" w:rsidRPr="00984154" w:rsidRDefault="009418BE" w:rsidP="009418BE">
      <w:pPr>
        <w:pStyle w:val="Funotentext"/>
        <w:rPr>
          <w:color w:val="0D0D0D" w:themeColor="text1" w:themeTint="F2"/>
          <w:lang w:val="en-GB"/>
        </w:rPr>
      </w:pPr>
      <w:r w:rsidRPr="00984154">
        <w:rPr>
          <w:color w:val="0D0D0D" w:themeColor="text1" w:themeTint="F2"/>
          <w:lang w:val="en-GB"/>
        </w:rPr>
        <w:t>implemented, the high risk to wild mammals, fish and aquatic invertebrates and non-target arthropods</w:t>
      </w:r>
    </w:p>
    <w:p w14:paraId="50DBE9C6" w14:textId="7216ABDF" w:rsidR="009418BE" w:rsidRPr="00984154" w:rsidRDefault="009418BE" w:rsidP="009418BE">
      <w:pPr>
        <w:pStyle w:val="Funotentext"/>
        <w:rPr>
          <w:color w:val="0D0D0D" w:themeColor="text1" w:themeTint="F2"/>
          <w:lang w:val="en-GB"/>
        </w:rPr>
      </w:pPr>
      <w:r w:rsidRPr="00984154">
        <w:rPr>
          <w:color w:val="0D0D0D" w:themeColor="text1" w:themeTint="F2"/>
          <w:lang w:val="en-GB"/>
        </w:rPr>
        <w:t>will lead to a critical area of concern.</w:t>
      </w:r>
    </w:p>
  </w:footnote>
  <w:footnote w:id="4">
    <w:p w14:paraId="76E30D7E" w14:textId="71598F54" w:rsidR="0028234D" w:rsidRPr="00984154" w:rsidRDefault="0028234D">
      <w:pPr>
        <w:pStyle w:val="Funotentext"/>
        <w:rPr>
          <w:color w:val="0D0D0D" w:themeColor="text1" w:themeTint="F2"/>
          <w:lang w:val="en-GB"/>
        </w:rPr>
      </w:pPr>
      <w:r w:rsidRPr="00984154">
        <w:rPr>
          <w:rStyle w:val="Funotenzeichen"/>
          <w:color w:val="0D0D0D" w:themeColor="text1" w:themeTint="F2"/>
        </w:rPr>
        <w:footnoteRef/>
      </w:r>
      <w:r w:rsidRPr="00984154">
        <w:rPr>
          <w:color w:val="0D0D0D" w:themeColor="text1" w:themeTint="F2"/>
          <w:lang w:val="en-GB"/>
        </w:rPr>
        <w:t xml:space="preserve"> </w:t>
      </w:r>
      <w:r w:rsidR="00E61665">
        <w:fldChar w:fldCharType="begin"/>
      </w:r>
      <w:r w:rsidR="00E61665" w:rsidRPr="00B7702A">
        <w:rPr>
          <w:lang w:val="en-GB"/>
        </w:rPr>
        <w:instrText>HYPERLINK "about:blank"</w:instrText>
      </w:r>
      <w:r w:rsidR="00E61665">
        <w:fldChar w:fldCharType="separate"/>
      </w:r>
      <w:r w:rsidR="00E61665" w:rsidRPr="00984154">
        <w:rPr>
          <w:rStyle w:val="Hyperlink"/>
          <w:color w:val="0D0D0D" w:themeColor="text1" w:themeTint="F2"/>
          <w:u w:val="none"/>
          <w:lang w:val="en-GB"/>
        </w:rPr>
        <w:t>https://eur-lex.europa.eu/legal-content/EN/TXT/?uri=CELEX%3A62022CJ0309&amp;qid=1738576901784</w:t>
      </w:r>
      <w:r w:rsidR="00E61665">
        <w:rPr>
          <w:rStyle w:val="Hyperlink"/>
          <w:color w:val="0D0D0D" w:themeColor="text1" w:themeTint="F2"/>
          <w:u w:val="none"/>
          <w:lang w:val="en-GB"/>
        </w:rPr>
        <w:fldChar w:fldCharType="end"/>
      </w:r>
    </w:p>
  </w:footnote>
  <w:footnote w:id="5">
    <w:p w14:paraId="60EFC90B" w14:textId="13DC71BE" w:rsidR="00E61665" w:rsidRPr="00984154" w:rsidRDefault="00E61665">
      <w:pPr>
        <w:pStyle w:val="Funotentext"/>
        <w:rPr>
          <w:color w:val="0D0D0D" w:themeColor="text1" w:themeTint="F2"/>
          <w:lang w:val="en-GB"/>
        </w:rPr>
      </w:pPr>
      <w:r w:rsidRPr="00984154">
        <w:rPr>
          <w:rStyle w:val="Funotenzeichen"/>
          <w:color w:val="0D0D0D" w:themeColor="text1" w:themeTint="F2"/>
        </w:rPr>
        <w:footnoteRef/>
      </w:r>
      <w:r w:rsidRPr="00984154">
        <w:rPr>
          <w:color w:val="0D0D0D" w:themeColor="text1" w:themeTint="F2"/>
          <w:lang w:val="en-GB"/>
        </w:rPr>
        <w:t xml:space="preserve"> </w:t>
      </w:r>
      <w:r>
        <w:fldChar w:fldCharType="begin"/>
      </w:r>
      <w:r w:rsidRPr="00B7702A">
        <w:rPr>
          <w:lang w:val="en-GB"/>
        </w:rPr>
        <w:instrText>HYPERLINK "about:blank"</w:instrText>
      </w:r>
      <w:r>
        <w:fldChar w:fldCharType="separate"/>
      </w:r>
      <w:r w:rsidRPr="00984154">
        <w:rPr>
          <w:rStyle w:val="Hyperlink"/>
          <w:color w:val="0D0D0D" w:themeColor="text1" w:themeTint="F2"/>
          <w:u w:val="none"/>
          <w:lang w:val="en-GB"/>
        </w:rPr>
        <w:t>https://eur-lex.europa.eu/legal-content/EN/TXT/?uri=CELEX%3A62022CA0308&amp;qid=1738577102420</w:t>
      </w:r>
      <w:r>
        <w:rPr>
          <w:rStyle w:val="Hyperlink"/>
          <w:color w:val="0D0D0D" w:themeColor="text1" w:themeTint="F2"/>
          <w:u w:val="none"/>
          <w:lang w:val="en-GB"/>
        </w:rPr>
        <w:fldChar w:fldCharType="end"/>
      </w:r>
    </w:p>
  </w:footnote>
  <w:footnote w:id="6">
    <w:p w14:paraId="7BA26E98" w14:textId="5B0ACEB1" w:rsidR="00A0188C" w:rsidRPr="00984154" w:rsidRDefault="00A0188C">
      <w:pPr>
        <w:pStyle w:val="Funotentext"/>
        <w:rPr>
          <w:color w:val="0D0D0D" w:themeColor="text1" w:themeTint="F2"/>
          <w:lang w:val="en-GB"/>
        </w:rPr>
      </w:pPr>
      <w:r w:rsidRPr="00984154">
        <w:rPr>
          <w:rStyle w:val="Funotenzeichen"/>
          <w:color w:val="0D0D0D" w:themeColor="text1" w:themeTint="F2"/>
        </w:rPr>
        <w:footnoteRef/>
      </w:r>
      <w:r w:rsidRPr="00984154">
        <w:rPr>
          <w:color w:val="0D0D0D" w:themeColor="text1" w:themeTint="F2"/>
          <w:lang w:val="en-GB"/>
        </w:rPr>
        <w:t xml:space="preserve"> </w:t>
      </w:r>
      <w:r>
        <w:fldChar w:fldCharType="begin"/>
      </w:r>
      <w:r w:rsidRPr="00B7702A">
        <w:rPr>
          <w:lang w:val="en-GB"/>
        </w:rPr>
        <w:instrText>HYPERLINK "https://pubmed.ncbi.nlm.nih.gov/"</w:instrText>
      </w:r>
      <w:r>
        <w:fldChar w:fldCharType="separate"/>
      </w:r>
      <w:r w:rsidRPr="00984154">
        <w:rPr>
          <w:rStyle w:val="Hyperlink"/>
          <w:color w:val="0D0D0D" w:themeColor="text1" w:themeTint="F2"/>
          <w:u w:val="none"/>
          <w:lang w:val="en-GB"/>
        </w:rPr>
        <w:t>https://pubmed.ncbi.nlm.nih.gov/</w:t>
      </w:r>
      <w:r>
        <w:rPr>
          <w:rStyle w:val="Hyperlink"/>
          <w:color w:val="0D0D0D" w:themeColor="text1" w:themeTint="F2"/>
          <w:u w:val="none"/>
          <w:lang w:val="en-GB"/>
        </w:rPr>
        <w:fldChar w:fldCharType="end"/>
      </w:r>
    </w:p>
  </w:footnote>
  <w:footnote w:id="7">
    <w:p w14:paraId="613BAA64" w14:textId="555AFF70" w:rsidR="00A0188C" w:rsidRPr="00984154" w:rsidRDefault="00A0188C" w:rsidP="00A0188C">
      <w:pPr>
        <w:pStyle w:val="Funotentext"/>
        <w:rPr>
          <w:color w:val="0D0D0D" w:themeColor="text1" w:themeTint="F2"/>
          <w:lang w:val="en-GB"/>
        </w:rPr>
      </w:pPr>
      <w:r w:rsidRPr="00984154">
        <w:rPr>
          <w:rStyle w:val="Funotenzeichen"/>
          <w:color w:val="0D0D0D" w:themeColor="text1" w:themeTint="F2"/>
        </w:rPr>
        <w:footnoteRef/>
      </w:r>
      <w:r w:rsidRPr="00984154">
        <w:rPr>
          <w:color w:val="0D0D0D" w:themeColor="text1" w:themeTint="F2"/>
          <w:lang w:val="en-GB"/>
        </w:rPr>
        <w:t xml:space="preserve"> Bruhl et al., Terrestrial pesticide exposure of amphibians: An underestimated cause of global </w:t>
      </w:r>
      <w:proofErr w:type="gramStart"/>
      <w:r w:rsidRPr="00984154">
        <w:rPr>
          <w:color w:val="0D0D0D" w:themeColor="text1" w:themeTint="F2"/>
          <w:lang w:val="en-GB"/>
        </w:rPr>
        <w:t>decline?,</w:t>
      </w:r>
      <w:proofErr w:type="gramEnd"/>
      <w:r w:rsidRPr="00984154">
        <w:rPr>
          <w:color w:val="0D0D0D" w:themeColor="text1" w:themeTint="F2"/>
          <w:lang w:val="en-GB"/>
        </w:rPr>
        <w:t xml:space="preserve"> Nature SCIENTIFIC REPORTS, 3 : 1135, 2013.</w:t>
      </w:r>
    </w:p>
  </w:footnote>
  <w:footnote w:id="8">
    <w:p w14:paraId="36AFD155" w14:textId="373360B7" w:rsidR="00E61665" w:rsidRPr="00984154" w:rsidRDefault="00E61665" w:rsidP="00E61665">
      <w:pPr>
        <w:pStyle w:val="Funotentext"/>
        <w:rPr>
          <w:color w:val="0D0D0D" w:themeColor="text1" w:themeTint="F2"/>
          <w:lang w:val="en-GB"/>
        </w:rPr>
      </w:pPr>
      <w:r w:rsidRPr="00984154">
        <w:rPr>
          <w:rStyle w:val="Funotenzeichen"/>
          <w:color w:val="0D0D0D" w:themeColor="text1" w:themeTint="F2"/>
        </w:rPr>
        <w:footnoteRef/>
      </w:r>
      <w:r w:rsidRPr="00984154">
        <w:rPr>
          <w:color w:val="0D0D0D" w:themeColor="text1" w:themeTint="F2"/>
          <w:lang w:val="en-GB"/>
        </w:rPr>
        <w:t xml:space="preserve"> </w:t>
      </w:r>
      <w:proofErr w:type="spellStart"/>
      <w:r w:rsidRPr="00984154">
        <w:rPr>
          <w:color w:val="0D0D0D" w:themeColor="text1" w:themeTint="F2"/>
          <w:lang w:val="en-GB"/>
        </w:rPr>
        <w:t>Piechowitz</w:t>
      </w:r>
      <w:proofErr w:type="spellEnd"/>
      <w:r w:rsidRPr="00984154">
        <w:rPr>
          <w:color w:val="0D0D0D" w:themeColor="text1" w:themeTint="F2"/>
          <w:lang w:val="en-GB"/>
        </w:rPr>
        <w:t xml:space="preserve"> et al., The transfer of active ingredients of insecticides and fungicides from an orchard to beehives, OURNAL OF ENVIRONMENTAL SCIENCE AND HEALTH, PART B, 2018, VOL. 53, NO. 1, 18–24</w:t>
      </w:r>
    </w:p>
  </w:footnote>
  <w:footnote w:id="9">
    <w:p w14:paraId="1981D63E" w14:textId="2FB6C3D5" w:rsidR="002C50C0" w:rsidRPr="002C50C0" w:rsidRDefault="002C50C0" w:rsidP="002C50C0">
      <w:pPr>
        <w:pStyle w:val="Funotentext"/>
        <w:rPr>
          <w:lang w:val="en-GB"/>
        </w:rPr>
      </w:pPr>
      <w:r w:rsidRPr="00984154">
        <w:rPr>
          <w:rStyle w:val="Funotenzeichen"/>
          <w:color w:val="0D0D0D" w:themeColor="text1" w:themeTint="F2"/>
        </w:rPr>
        <w:footnoteRef/>
      </w:r>
      <w:r w:rsidRPr="00984154">
        <w:rPr>
          <w:color w:val="0D0D0D" w:themeColor="text1" w:themeTint="F2"/>
          <w:lang w:val="en-GB"/>
        </w:rPr>
        <w:t xml:space="preserve"> He et al., </w:t>
      </w:r>
      <w:proofErr w:type="spellStart"/>
      <w:r w:rsidRPr="00984154">
        <w:rPr>
          <w:color w:val="0D0D0D" w:themeColor="text1" w:themeTint="F2"/>
          <w:lang w:val="en-GB"/>
        </w:rPr>
        <w:t>Captan</w:t>
      </w:r>
      <w:proofErr w:type="spellEnd"/>
      <w:r w:rsidRPr="00984154">
        <w:rPr>
          <w:color w:val="0D0D0D" w:themeColor="text1" w:themeTint="F2"/>
          <w:lang w:val="en-GB"/>
        </w:rPr>
        <w:t xml:space="preserve"> exposure disrupts ovarian homeostasis and affects oocytes quality via mitochondrial dysfunction induced apoptosis, Chemosphere 286 (2022) 131625.</w:t>
      </w:r>
    </w:p>
  </w:footnote>
  <w:footnote w:id="10">
    <w:p w14:paraId="2B8F0AFC" w14:textId="4789280A" w:rsidR="002C50C0" w:rsidRPr="002C50C0" w:rsidRDefault="002C50C0">
      <w:pPr>
        <w:pStyle w:val="Funotentext"/>
        <w:rPr>
          <w:lang w:val="en-GB"/>
        </w:rPr>
      </w:pPr>
      <w:r>
        <w:rPr>
          <w:rStyle w:val="Funotenzeichen"/>
        </w:rPr>
        <w:footnoteRef/>
      </w:r>
      <w:r w:rsidRPr="002C50C0">
        <w:rPr>
          <w:lang w:val="en-GB"/>
        </w:rPr>
        <w:t xml:space="preserve"> Zhou et al., Toxicity effects of </w:t>
      </w:r>
      <w:proofErr w:type="spellStart"/>
      <w:r w:rsidRPr="002C50C0">
        <w:rPr>
          <w:lang w:val="en-GB"/>
        </w:rPr>
        <w:t>captan</w:t>
      </w:r>
      <w:proofErr w:type="spellEnd"/>
      <w:r w:rsidRPr="002C50C0">
        <w:rPr>
          <w:lang w:val="en-GB"/>
        </w:rPr>
        <w:t xml:space="preserve"> on different life stages of zebrafish (Danio rerio)</w:t>
      </w:r>
      <w:r>
        <w:rPr>
          <w:lang w:val="en-GB"/>
        </w:rPr>
        <w:t xml:space="preserve">, </w:t>
      </w:r>
      <w:r w:rsidR="00FC2D8E" w:rsidRPr="00FC2D8E">
        <w:rPr>
          <w:lang w:val="en-GB"/>
        </w:rPr>
        <w:t>Environmental Toxicology and Pharmacology 69 (2019) 80–85</w:t>
      </w:r>
      <w:r w:rsidR="00FC2D8E">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35DAA"/>
    <w:multiLevelType w:val="hybridMultilevel"/>
    <w:tmpl w:val="C67AEC6A"/>
    <w:lvl w:ilvl="0" w:tplc="312A85D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813C26"/>
    <w:multiLevelType w:val="hybridMultilevel"/>
    <w:tmpl w:val="DEC24494"/>
    <w:lvl w:ilvl="0" w:tplc="7DC21BC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169753">
    <w:abstractNumId w:val="0"/>
  </w:num>
  <w:num w:numId="2" w16cid:durableId="177263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64"/>
    <w:rsid w:val="00022125"/>
    <w:rsid w:val="00086738"/>
    <w:rsid w:val="000A4E12"/>
    <w:rsid w:val="000B54E5"/>
    <w:rsid w:val="000C07E5"/>
    <w:rsid w:val="000D1AE4"/>
    <w:rsid w:val="0011313C"/>
    <w:rsid w:val="00146B52"/>
    <w:rsid w:val="001E1CA8"/>
    <w:rsid w:val="001E514D"/>
    <w:rsid w:val="00273E7B"/>
    <w:rsid w:val="0028234D"/>
    <w:rsid w:val="002C16C8"/>
    <w:rsid w:val="002C50C0"/>
    <w:rsid w:val="0033755C"/>
    <w:rsid w:val="00376884"/>
    <w:rsid w:val="00386506"/>
    <w:rsid w:val="003A6B4F"/>
    <w:rsid w:val="003E5A96"/>
    <w:rsid w:val="00404651"/>
    <w:rsid w:val="004135F2"/>
    <w:rsid w:val="0042180F"/>
    <w:rsid w:val="00465D84"/>
    <w:rsid w:val="004666FB"/>
    <w:rsid w:val="00480FC1"/>
    <w:rsid w:val="004F1991"/>
    <w:rsid w:val="005441D1"/>
    <w:rsid w:val="00592325"/>
    <w:rsid w:val="005F6D48"/>
    <w:rsid w:val="00601B73"/>
    <w:rsid w:val="00603F14"/>
    <w:rsid w:val="00610044"/>
    <w:rsid w:val="00633F78"/>
    <w:rsid w:val="006536F4"/>
    <w:rsid w:val="00727A0F"/>
    <w:rsid w:val="0078513A"/>
    <w:rsid w:val="007A6205"/>
    <w:rsid w:val="00820525"/>
    <w:rsid w:val="0084186A"/>
    <w:rsid w:val="008568A3"/>
    <w:rsid w:val="008715A6"/>
    <w:rsid w:val="00891918"/>
    <w:rsid w:val="008977FD"/>
    <w:rsid w:val="008B5638"/>
    <w:rsid w:val="008C13BB"/>
    <w:rsid w:val="008E02E9"/>
    <w:rsid w:val="008F21C1"/>
    <w:rsid w:val="00905DD2"/>
    <w:rsid w:val="0092260C"/>
    <w:rsid w:val="009418BE"/>
    <w:rsid w:val="0098066E"/>
    <w:rsid w:val="00984154"/>
    <w:rsid w:val="009D0C3C"/>
    <w:rsid w:val="00A0188C"/>
    <w:rsid w:val="00A01996"/>
    <w:rsid w:val="00A21622"/>
    <w:rsid w:val="00B04408"/>
    <w:rsid w:val="00B07135"/>
    <w:rsid w:val="00B60F14"/>
    <w:rsid w:val="00B7702A"/>
    <w:rsid w:val="00C1131B"/>
    <w:rsid w:val="00C242E7"/>
    <w:rsid w:val="00C35814"/>
    <w:rsid w:val="00C36E2C"/>
    <w:rsid w:val="00C72D33"/>
    <w:rsid w:val="00D0164F"/>
    <w:rsid w:val="00D538EA"/>
    <w:rsid w:val="00DA0AD4"/>
    <w:rsid w:val="00DA15E5"/>
    <w:rsid w:val="00E35CF0"/>
    <w:rsid w:val="00E45D5D"/>
    <w:rsid w:val="00E61665"/>
    <w:rsid w:val="00E637EA"/>
    <w:rsid w:val="00E64F24"/>
    <w:rsid w:val="00E8388A"/>
    <w:rsid w:val="00EA36CC"/>
    <w:rsid w:val="00EB435B"/>
    <w:rsid w:val="00EB6A6E"/>
    <w:rsid w:val="00EF10EB"/>
    <w:rsid w:val="00F00535"/>
    <w:rsid w:val="00F20764"/>
    <w:rsid w:val="00F3158C"/>
    <w:rsid w:val="00F4519B"/>
    <w:rsid w:val="00F86AC8"/>
    <w:rsid w:val="00F91DA2"/>
    <w:rsid w:val="00F962C7"/>
    <w:rsid w:val="00FC2D8E"/>
    <w:rsid w:val="00FD30AC"/>
    <w:rsid w:val="00FF73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FC5B"/>
  <w15:chartTrackingRefBased/>
  <w15:docId w15:val="{5511CA54-B6D7-4246-BB8D-C28F49B5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2125"/>
  </w:style>
  <w:style w:type="paragraph" w:styleId="berschrift1">
    <w:name w:val="heading 1"/>
    <w:basedOn w:val="Standard"/>
    <w:next w:val="Standard"/>
    <w:link w:val="berschrift1Zchn"/>
    <w:uiPriority w:val="9"/>
    <w:qFormat/>
    <w:rsid w:val="00273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F86A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F86AC8"/>
    <w:rPr>
      <w:rFonts w:asciiTheme="majorHAnsi" w:eastAsiaTheme="majorEastAsia" w:hAnsiTheme="majorHAnsi" w:cstheme="majorBidi"/>
      <w:color w:val="1F4D78" w:themeColor="accent1" w:themeShade="7F"/>
      <w:sz w:val="24"/>
      <w:szCs w:val="24"/>
    </w:rPr>
  </w:style>
  <w:style w:type="character" w:styleId="Hyperlink">
    <w:name w:val="Hyperlink"/>
    <w:basedOn w:val="Absatz-Standardschriftart"/>
    <w:uiPriority w:val="99"/>
    <w:unhideWhenUsed/>
    <w:rsid w:val="00FF7335"/>
    <w:rPr>
      <w:color w:val="0563C1" w:themeColor="hyperlink"/>
      <w:u w:val="single"/>
    </w:rPr>
  </w:style>
  <w:style w:type="character" w:styleId="NichtaufgelsteErwhnung">
    <w:name w:val="Unresolved Mention"/>
    <w:basedOn w:val="Absatz-Standardschriftart"/>
    <w:uiPriority w:val="99"/>
    <w:semiHidden/>
    <w:unhideWhenUsed/>
    <w:rsid w:val="00FF7335"/>
    <w:rPr>
      <w:color w:val="605E5C"/>
      <w:shd w:val="clear" w:color="auto" w:fill="E1DFDD"/>
    </w:rPr>
  </w:style>
  <w:style w:type="character" w:styleId="BesuchterLink">
    <w:name w:val="FollowedHyperlink"/>
    <w:basedOn w:val="Absatz-Standardschriftart"/>
    <w:uiPriority w:val="99"/>
    <w:semiHidden/>
    <w:unhideWhenUsed/>
    <w:rsid w:val="00FF7335"/>
    <w:rPr>
      <w:color w:val="954F72" w:themeColor="followedHyperlink"/>
      <w:u w:val="single"/>
    </w:rPr>
  </w:style>
  <w:style w:type="character" w:customStyle="1" w:styleId="berschrift1Zchn">
    <w:name w:val="Überschrift 1 Zchn"/>
    <w:basedOn w:val="Absatz-Standardschriftart"/>
    <w:link w:val="berschrift1"/>
    <w:uiPriority w:val="9"/>
    <w:rsid w:val="00273E7B"/>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022125"/>
    <w:pPr>
      <w:ind w:left="720"/>
      <w:contextualSpacing/>
    </w:pPr>
  </w:style>
  <w:style w:type="paragraph" w:styleId="Funotentext">
    <w:name w:val="footnote text"/>
    <w:basedOn w:val="Standard"/>
    <w:link w:val="FunotentextZchn"/>
    <w:uiPriority w:val="99"/>
    <w:semiHidden/>
    <w:unhideWhenUsed/>
    <w:rsid w:val="009418B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418BE"/>
    <w:rPr>
      <w:sz w:val="20"/>
      <w:szCs w:val="20"/>
    </w:rPr>
  </w:style>
  <w:style w:type="character" w:styleId="Funotenzeichen">
    <w:name w:val="footnote reference"/>
    <w:basedOn w:val="Absatz-Standardschriftart"/>
    <w:uiPriority w:val="99"/>
    <w:semiHidden/>
    <w:unhideWhenUsed/>
    <w:rsid w:val="009418BE"/>
    <w:rPr>
      <w:vertAlign w:val="superscript"/>
    </w:rPr>
  </w:style>
  <w:style w:type="paragraph" w:styleId="StandardWeb">
    <w:name w:val="Normal (Web)"/>
    <w:basedOn w:val="Standard"/>
    <w:uiPriority w:val="99"/>
    <w:unhideWhenUsed/>
    <w:rsid w:val="006536F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Kopfzeile">
    <w:name w:val="header"/>
    <w:basedOn w:val="Standard"/>
    <w:link w:val="KopfzeileZchn"/>
    <w:uiPriority w:val="99"/>
    <w:unhideWhenUsed/>
    <w:rsid w:val="006536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36F4"/>
  </w:style>
  <w:style w:type="paragraph" w:styleId="Fuzeile">
    <w:name w:val="footer"/>
    <w:basedOn w:val="Standard"/>
    <w:link w:val="FuzeileZchn"/>
    <w:uiPriority w:val="99"/>
    <w:unhideWhenUsed/>
    <w:rsid w:val="006536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36F4"/>
  </w:style>
  <w:style w:type="character" w:styleId="Seitenzahl">
    <w:name w:val="page number"/>
    <w:basedOn w:val="Absatz-Standardschriftart"/>
    <w:uiPriority w:val="99"/>
    <w:semiHidden/>
    <w:unhideWhenUsed/>
    <w:rsid w:val="0008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65010">
      <w:bodyDiv w:val="1"/>
      <w:marLeft w:val="0"/>
      <w:marRight w:val="0"/>
      <w:marTop w:val="0"/>
      <w:marBottom w:val="0"/>
      <w:divBdr>
        <w:top w:val="none" w:sz="0" w:space="0" w:color="auto"/>
        <w:left w:val="none" w:sz="0" w:space="0" w:color="auto"/>
        <w:bottom w:val="none" w:sz="0" w:space="0" w:color="auto"/>
        <w:right w:val="none" w:sz="0" w:space="0" w:color="auto"/>
      </w:divBdr>
    </w:div>
    <w:div w:id="536239216">
      <w:bodyDiv w:val="1"/>
      <w:marLeft w:val="0"/>
      <w:marRight w:val="0"/>
      <w:marTop w:val="0"/>
      <w:marBottom w:val="0"/>
      <w:divBdr>
        <w:top w:val="none" w:sz="0" w:space="0" w:color="auto"/>
        <w:left w:val="none" w:sz="0" w:space="0" w:color="auto"/>
        <w:bottom w:val="none" w:sz="0" w:space="0" w:color="auto"/>
        <w:right w:val="none" w:sz="0" w:space="0" w:color="auto"/>
      </w:divBdr>
    </w:div>
    <w:div w:id="845368830">
      <w:bodyDiv w:val="1"/>
      <w:marLeft w:val="0"/>
      <w:marRight w:val="0"/>
      <w:marTop w:val="0"/>
      <w:marBottom w:val="0"/>
      <w:divBdr>
        <w:top w:val="none" w:sz="0" w:space="0" w:color="auto"/>
        <w:left w:val="none" w:sz="0" w:space="0" w:color="auto"/>
        <w:bottom w:val="none" w:sz="0" w:space="0" w:color="auto"/>
        <w:right w:val="none" w:sz="0" w:space="0" w:color="auto"/>
      </w:divBdr>
    </w:div>
    <w:div w:id="1171067482">
      <w:bodyDiv w:val="1"/>
      <w:marLeft w:val="0"/>
      <w:marRight w:val="0"/>
      <w:marTop w:val="0"/>
      <w:marBottom w:val="0"/>
      <w:divBdr>
        <w:top w:val="none" w:sz="0" w:space="0" w:color="auto"/>
        <w:left w:val="none" w:sz="0" w:space="0" w:color="auto"/>
        <w:bottom w:val="none" w:sz="0" w:space="0" w:color="auto"/>
        <w:right w:val="none" w:sz="0" w:space="0" w:color="auto"/>
      </w:divBdr>
    </w:div>
    <w:div w:id="2140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netherland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efsa.europa.eu/en/efsajournal/pub/8576" TargetMode="External"/><Relationship Id="rId1" Type="http://schemas.openxmlformats.org/officeDocument/2006/relationships/hyperlink" Target="https://zoek.officielebekendmakingen.nl/stcrt-2025-3460.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6815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muilerman</dc:creator>
  <cp:keywords/>
  <dc:description/>
  <cp:lastModifiedBy>Margriet Mantingh</cp:lastModifiedBy>
  <cp:revision>8</cp:revision>
  <cp:lastPrinted>2025-03-09T18:57:00Z</cp:lastPrinted>
  <dcterms:created xsi:type="dcterms:W3CDTF">2025-03-09T07:30:00Z</dcterms:created>
  <dcterms:modified xsi:type="dcterms:W3CDTF">2025-03-09T19:19:00Z</dcterms:modified>
</cp:coreProperties>
</file>