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913D8" w14:textId="77777777" w:rsidR="00F5303F" w:rsidRPr="00FD3BF3" w:rsidRDefault="00F5303F" w:rsidP="00F5303F">
      <w:pPr>
        <w:pStyle w:val="StandardWeb"/>
        <w:spacing w:before="120" w:beforeAutospacing="0" w:after="120" w:afterAutospacing="0"/>
        <w:jc w:val="right"/>
        <w:rPr>
          <w:rFonts w:asciiTheme="minorHAnsi" w:hAnsiTheme="minorHAnsi" w:cstheme="minorHAnsi"/>
          <w:sz w:val="18"/>
          <w:szCs w:val="18"/>
          <w:lang w:val="nl-NL"/>
        </w:rPr>
      </w:pPr>
      <w:r w:rsidRPr="00FD3BF3">
        <w:rPr>
          <w:rFonts w:asciiTheme="minorHAnsi" w:hAnsiTheme="minorHAnsi" w:cstheme="minorHAnsi"/>
          <w:b/>
          <w:bCs/>
          <w:noProof/>
          <w:sz w:val="18"/>
          <w:szCs w:val="18"/>
        </w:rPr>
        <w:drawing>
          <wp:anchor distT="0" distB="0" distL="114300" distR="114300" simplePos="0" relativeHeight="251659264" behindDoc="0" locked="0" layoutInCell="1" allowOverlap="1" wp14:anchorId="16C6661D" wp14:editId="61CBE808">
            <wp:simplePos x="0" y="0"/>
            <wp:positionH relativeFrom="column">
              <wp:posOffset>22225</wp:posOffset>
            </wp:positionH>
            <wp:positionV relativeFrom="paragraph">
              <wp:posOffset>399</wp:posOffset>
            </wp:positionV>
            <wp:extent cx="966470" cy="1419225"/>
            <wp:effectExtent l="0" t="0" r="0" b="3175"/>
            <wp:wrapSquare wrapText="bothSides"/>
            <wp:docPr id="7" name="Afbeelding 1" descr="Ein Bild, das Text, Poster,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Ein Bild, das Text, Poster, Grafiken, Grafik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1419225"/>
                    </a:xfrm>
                    <a:prstGeom prst="rect">
                      <a:avLst/>
                    </a:prstGeom>
                    <a:noFill/>
                  </pic:spPr>
                </pic:pic>
              </a:graphicData>
            </a:graphic>
            <wp14:sizeRelH relativeFrom="margin">
              <wp14:pctWidth>0</wp14:pctWidth>
            </wp14:sizeRelH>
            <wp14:sizeRelV relativeFrom="margin">
              <wp14:pctHeight>0</wp14:pctHeight>
            </wp14:sizeRelV>
          </wp:anchor>
        </w:drawing>
      </w:r>
      <w:r w:rsidRPr="00FD3BF3">
        <w:rPr>
          <w:rFonts w:asciiTheme="minorHAnsi" w:hAnsiTheme="minorHAnsi" w:cstheme="minorHAnsi"/>
          <w:sz w:val="18"/>
          <w:szCs w:val="18"/>
          <w:lang w:val="nl-NL"/>
        </w:rPr>
        <w:tab/>
      </w:r>
    </w:p>
    <w:p w14:paraId="24BB1379"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18"/>
          <w:szCs w:val="18"/>
          <w:lang w:val="nl-NL"/>
        </w:rPr>
      </w:pPr>
    </w:p>
    <w:p w14:paraId="37E6BFCE"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18"/>
          <w:szCs w:val="18"/>
          <w:lang w:val="nl-NL"/>
        </w:rPr>
      </w:pPr>
    </w:p>
    <w:p w14:paraId="2A591A2E"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18"/>
          <w:szCs w:val="18"/>
          <w:lang w:val="nl-NL"/>
        </w:rPr>
      </w:pPr>
    </w:p>
    <w:p w14:paraId="374E101B"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22"/>
          <w:szCs w:val="22"/>
          <w:lang w:val="nl-NL"/>
        </w:rPr>
      </w:pPr>
      <w:r w:rsidRPr="00FD3BF3">
        <w:rPr>
          <w:rFonts w:asciiTheme="minorHAnsi" w:hAnsiTheme="minorHAnsi" w:cstheme="minorHAnsi"/>
          <w:color w:val="0D0D0D" w:themeColor="text1" w:themeTint="F2"/>
          <w:sz w:val="22"/>
          <w:szCs w:val="22"/>
          <w:lang w:val="nl-NL"/>
        </w:rPr>
        <w:t>Anreperstraat 91</w:t>
      </w:r>
    </w:p>
    <w:p w14:paraId="48CCBAE4"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262626" w:themeColor="text1" w:themeTint="D9"/>
          <w:sz w:val="22"/>
          <w:szCs w:val="22"/>
          <w:u w:val="single"/>
          <w:lang w:val="nl-NL"/>
        </w:rPr>
      </w:pPr>
      <w:r w:rsidRPr="00FD3BF3">
        <w:rPr>
          <w:rFonts w:asciiTheme="minorHAnsi" w:hAnsiTheme="minorHAnsi" w:cstheme="minorHAnsi"/>
          <w:color w:val="0D0D0D" w:themeColor="text1" w:themeTint="F2"/>
          <w:sz w:val="22"/>
          <w:szCs w:val="22"/>
          <w:lang w:val="nl-NL"/>
        </w:rPr>
        <w:t>9404 LC Assen</w:t>
      </w:r>
    </w:p>
    <w:p w14:paraId="712AA9EC"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22"/>
          <w:szCs w:val="22"/>
          <w:lang w:val="nl-NL"/>
        </w:rPr>
      </w:pPr>
      <w:hyperlink r:id="rId8" w:history="1">
        <w:r w:rsidRPr="00FD3BF3">
          <w:rPr>
            <w:rStyle w:val="Hyperlink"/>
            <w:rFonts w:asciiTheme="minorHAnsi" w:hAnsiTheme="minorHAnsi" w:cstheme="minorHAnsi"/>
            <w:color w:val="262626" w:themeColor="text1" w:themeTint="D9"/>
            <w:sz w:val="22"/>
            <w:szCs w:val="22"/>
            <w:lang w:val="nl-NL"/>
          </w:rPr>
          <w:t>pan.netherlands@gmail.com</w:t>
        </w:r>
      </w:hyperlink>
    </w:p>
    <w:p w14:paraId="0CC5AE8F" w14:textId="77777777" w:rsidR="00F5303F" w:rsidRPr="00FD3BF3" w:rsidRDefault="00F5303F" w:rsidP="00F5303F">
      <w:pPr>
        <w:pStyle w:val="StandardWeb"/>
        <w:spacing w:before="0" w:beforeAutospacing="0" w:after="0" w:afterAutospacing="0"/>
        <w:jc w:val="right"/>
        <w:rPr>
          <w:rFonts w:asciiTheme="minorHAnsi" w:hAnsiTheme="minorHAnsi" w:cstheme="minorHAnsi"/>
          <w:color w:val="0D0D0D" w:themeColor="text1" w:themeTint="F2"/>
          <w:sz w:val="22"/>
          <w:szCs w:val="22"/>
          <w:lang w:val="nl-NL"/>
        </w:rPr>
      </w:pPr>
      <w:proofErr w:type="gramStart"/>
      <w:r w:rsidRPr="00FD3BF3">
        <w:rPr>
          <w:rFonts w:asciiTheme="minorHAnsi" w:hAnsiTheme="minorHAnsi" w:cstheme="minorHAnsi"/>
          <w:color w:val="0D0D0D" w:themeColor="text1" w:themeTint="F2"/>
          <w:sz w:val="22"/>
          <w:szCs w:val="22"/>
          <w:lang w:val="nl-NL"/>
        </w:rPr>
        <w:t>https://www.pan-netherlands.org</w:t>
      </w:r>
      <w:proofErr w:type="gramEnd"/>
    </w:p>
    <w:p w14:paraId="14186120" w14:textId="77777777" w:rsidR="00F5303F" w:rsidRPr="00FD3BF3" w:rsidRDefault="00F5303F" w:rsidP="00F4519B">
      <w:pPr>
        <w:rPr>
          <w:rFonts w:cstheme="minorHAnsi"/>
        </w:rPr>
      </w:pPr>
    </w:p>
    <w:p w14:paraId="4D6CF0AB" w14:textId="3E2B0981" w:rsidR="00B93AF2" w:rsidRPr="00FD3BF3" w:rsidRDefault="00B93AF2" w:rsidP="00FD3BF3">
      <w:pPr>
        <w:spacing w:after="0" w:line="240" w:lineRule="auto"/>
        <w:rPr>
          <w:rFonts w:cstheme="minorHAnsi"/>
          <w:b/>
          <w:bCs/>
        </w:rPr>
      </w:pPr>
      <w:r w:rsidRPr="00FD3BF3">
        <w:rPr>
          <w:rFonts w:cstheme="minorHAnsi"/>
          <w:b/>
          <w:bCs/>
        </w:rPr>
        <w:t>Aan het Ctgb</w:t>
      </w:r>
    </w:p>
    <w:p w14:paraId="153EF7A1" w14:textId="77777777" w:rsidR="00FD3BF3" w:rsidRPr="00FD3BF3" w:rsidRDefault="00FD3BF3" w:rsidP="00FD3BF3">
      <w:pPr>
        <w:pStyle w:val="StandardWeb"/>
        <w:spacing w:before="0" w:beforeAutospacing="0" w:after="0" w:afterAutospacing="0"/>
        <w:rPr>
          <w:rFonts w:asciiTheme="minorHAnsi" w:hAnsiTheme="minorHAnsi" w:cstheme="minorHAnsi"/>
          <w:b/>
          <w:bCs/>
          <w:color w:val="262626" w:themeColor="text1" w:themeTint="D9"/>
          <w:sz w:val="22"/>
          <w:szCs w:val="22"/>
          <w:lang w:val="nl-NL"/>
        </w:rPr>
      </w:pPr>
      <w:r w:rsidRPr="00FD3BF3">
        <w:rPr>
          <w:rFonts w:asciiTheme="minorHAnsi" w:hAnsiTheme="minorHAnsi" w:cstheme="minorHAnsi"/>
          <w:b/>
          <w:bCs/>
          <w:color w:val="262626" w:themeColor="text1" w:themeTint="D9"/>
          <w:sz w:val="22"/>
          <w:szCs w:val="22"/>
          <w:lang w:val="nl-NL"/>
        </w:rPr>
        <w:t xml:space="preserve">Postbus 8030 </w:t>
      </w:r>
    </w:p>
    <w:p w14:paraId="2BAE9A34" w14:textId="77777777" w:rsidR="00FD3BF3" w:rsidRPr="00FD3BF3" w:rsidRDefault="00FD3BF3" w:rsidP="00FD3BF3">
      <w:pPr>
        <w:pStyle w:val="StandardWeb"/>
        <w:spacing w:before="0" w:beforeAutospacing="0" w:after="0" w:afterAutospacing="0"/>
        <w:rPr>
          <w:rFonts w:asciiTheme="minorHAnsi" w:hAnsiTheme="minorHAnsi" w:cstheme="minorHAnsi"/>
          <w:b/>
          <w:bCs/>
          <w:color w:val="262626" w:themeColor="text1" w:themeTint="D9"/>
          <w:sz w:val="22"/>
          <w:szCs w:val="22"/>
          <w:lang w:val="nl-NL"/>
        </w:rPr>
      </w:pPr>
      <w:r w:rsidRPr="00FD3BF3">
        <w:rPr>
          <w:rFonts w:asciiTheme="minorHAnsi" w:hAnsiTheme="minorHAnsi" w:cstheme="minorHAnsi"/>
          <w:b/>
          <w:bCs/>
          <w:color w:val="262626" w:themeColor="text1" w:themeTint="D9"/>
          <w:sz w:val="22"/>
          <w:szCs w:val="22"/>
          <w:lang w:val="nl-NL"/>
        </w:rPr>
        <w:t xml:space="preserve">6710 AA Ede </w:t>
      </w:r>
    </w:p>
    <w:p w14:paraId="1F7B743F" w14:textId="1814F978" w:rsidR="00B93AF2" w:rsidRPr="00FD3BF3" w:rsidRDefault="00FD3BF3" w:rsidP="00F4519B">
      <w:pPr>
        <w:rPr>
          <w:rFonts w:cstheme="minorHAnsi"/>
          <w:sz w:val="20"/>
          <w:szCs w:val="20"/>
        </w:rPr>
      </w:pPr>
      <w:r w:rsidRPr="00FD3BF3">
        <w:rPr>
          <w:rFonts w:cstheme="minorHAnsi"/>
          <w:sz w:val="20"/>
          <w:szCs w:val="20"/>
        </w:rPr>
        <w:t>Aangetekend en per e-mail verstuurd</w:t>
      </w:r>
    </w:p>
    <w:p w14:paraId="424B2F1B" w14:textId="77777777" w:rsidR="00FD3BF3" w:rsidRDefault="00F5303F" w:rsidP="00FD3BF3">
      <w:pPr>
        <w:spacing w:before="360" w:after="120"/>
        <w:rPr>
          <w:rFonts w:cstheme="minorHAnsi"/>
        </w:rPr>
      </w:pPr>
      <w:r w:rsidRPr="00FD3BF3">
        <w:rPr>
          <w:rFonts w:cstheme="minorHAnsi"/>
        </w:rPr>
        <w:t>Assen, 22 november 2024</w:t>
      </w:r>
    </w:p>
    <w:p w14:paraId="2EAEA334" w14:textId="11DF8BDE" w:rsidR="00FD3BF3" w:rsidRPr="00FD3BF3" w:rsidRDefault="00FD3BF3" w:rsidP="00FD3BF3">
      <w:pPr>
        <w:spacing w:before="360" w:after="120"/>
        <w:rPr>
          <w:rFonts w:cstheme="minorHAnsi"/>
        </w:rPr>
      </w:pPr>
      <w:r w:rsidRPr="00FD3BF3">
        <w:rPr>
          <w:rFonts w:cstheme="minorHAnsi"/>
          <w:b/>
          <w:bCs/>
          <w:i/>
          <w:iCs/>
        </w:rPr>
        <w:t>Betreffende</w:t>
      </w:r>
      <w:r w:rsidR="00F5303F" w:rsidRPr="00FD3BF3">
        <w:rPr>
          <w:rFonts w:cstheme="minorHAnsi"/>
          <w:b/>
          <w:bCs/>
          <w:i/>
          <w:iCs/>
        </w:rPr>
        <w:t>:</w:t>
      </w:r>
      <w:r w:rsidR="00F5303F" w:rsidRPr="00FD3BF3">
        <w:rPr>
          <w:rFonts w:cstheme="minorHAnsi"/>
          <w:i/>
          <w:iCs/>
        </w:rPr>
        <w:t xml:space="preserve"> </w:t>
      </w:r>
      <w:r w:rsidR="00B93AF2" w:rsidRPr="00FD3BF3">
        <w:rPr>
          <w:rFonts w:cstheme="minorHAnsi"/>
          <w:i/>
          <w:iCs/>
        </w:rPr>
        <w:t>Bezwaarschrift besluit 15 oktober 2024 van het Ctgb inhoudend een weigering de middelen op basis van het pesticide captan</w:t>
      </w:r>
      <w:r w:rsidR="0043674E" w:rsidRPr="00FD3BF3">
        <w:rPr>
          <w:rFonts w:cstheme="minorHAnsi"/>
          <w:i/>
          <w:iCs/>
        </w:rPr>
        <w:t xml:space="preserve"> </w:t>
      </w:r>
      <w:r w:rsidR="00084CA7" w:rsidRPr="00FD3BF3">
        <w:rPr>
          <w:rFonts w:cstheme="minorHAnsi"/>
          <w:i/>
          <w:iCs/>
        </w:rPr>
        <w:t xml:space="preserve">voor gebruik in open velden </w:t>
      </w:r>
      <w:r w:rsidR="0043674E" w:rsidRPr="00FD3BF3">
        <w:rPr>
          <w:rFonts w:cstheme="minorHAnsi"/>
          <w:i/>
          <w:iCs/>
        </w:rPr>
        <w:t>in te trekken (Art. 44).</w:t>
      </w:r>
    </w:p>
    <w:p w14:paraId="0EAC4D77" w14:textId="77777777" w:rsidR="00FD3BF3" w:rsidRPr="00FD3BF3" w:rsidRDefault="00FD3BF3" w:rsidP="00F4519B">
      <w:pPr>
        <w:rPr>
          <w:rFonts w:cstheme="minorHAnsi"/>
        </w:rPr>
      </w:pPr>
    </w:p>
    <w:p w14:paraId="25210C0E" w14:textId="7CB03348" w:rsidR="00F5303F" w:rsidRPr="00FD3BF3" w:rsidRDefault="00B93AF2" w:rsidP="0026790C">
      <w:pPr>
        <w:jc w:val="both"/>
        <w:rPr>
          <w:rFonts w:cstheme="minorHAnsi"/>
        </w:rPr>
      </w:pPr>
      <w:r w:rsidRPr="00FD3BF3">
        <w:rPr>
          <w:rFonts w:cstheme="minorHAnsi"/>
        </w:rPr>
        <w:t xml:space="preserve">Geacht College, </w:t>
      </w:r>
    </w:p>
    <w:p w14:paraId="0FEAC3DE" w14:textId="4591D499" w:rsidR="00B93AF2" w:rsidRPr="00FD3BF3" w:rsidRDefault="00F5303F" w:rsidP="0026790C">
      <w:pPr>
        <w:jc w:val="both"/>
        <w:rPr>
          <w:rFonts w:cstheme="minorHAnsi"/>
        </w:rPr>
      </w:pPr>
      <w:r w:rsidRPr="00FD3BF3">
        <w:rPr>
          <w:rFonts w:cstheme="minorHAnsi"/>
        </w:rPr>
        <w:t>H</w:t>
      </w:r>
      <w:r w:rsidR="00B93AF2" w:rsidRPr="00FD3BF3">
        <w:rPr>
          <w:rFonts w:cstheme="minorHAnsi"/>
        </w:rPr>
        <w:t xml:space="preserve">ierbij tekent PAN Nederland bezwaar aan tegen uw besluit van 15 oktober </w:t>
      </w:r>
      <w:r w:rsidR="00FD3BF3" w:rsidRPr="00FD3BF3">
        <w:rPr>
          <w:rFonts w:cstheme="minorHAnsi"/>
        </w:rPr>
        <w:t xml:space="preserve">2024 </w:t>
      </w:r>
      <w:r w:rsidR="00C44C98" w:rsidRPr="00FD3BF3">
        <w:rPr>
          <w:rFonts w:cstheme="minorHAnsi"/>
        </w:rPr>
        <w:t xml:space="preserve">inhoudend een weigering </w:t>
      </w:r>
      <w:r w:rsidR="00B93AF2" w:rsidRPr="00FD3BF3">
        <w:rPr>
          <w:rFonts w:cstheme="minorHAnsi"/>
        </w:rPr>
        <w:t xml:space="preserve">om </w:t>
      </w:r>
      <w:r w:rsidR="00C44C98" w:rsidRPr="00FD3BF3">
        <w:rPr>
          <w:rFonts w:cstheme="minorHAnsi"/>
        </w:rPr>
        <w:t>de middelen op basis van de actieve stof captan</w:t>
      </w:r>
      <w:r w:rsidR="00084CA7" w:rsidRPr="00FD3BF3">
        <w:rPr>
          <w:rFonts w:cstheme="minorHAnsi"/>
        </w:rPr>
        <w:t xml:space="preserve"> voor gebruik in open velden</w:t>
      </w:r>
      <w:r w:rsidR="00C44C98" w:rsidRPr="00FD3BF3">
        <w:rPr>
          <w:rFonts w:cstheme="minorHAnsi"/>
        </w:rPr>
        <w:t xml:space="preserve"> in te trekken (</w:t>
      </w:r>
      <w:r w:rsidR="00B93AF2" w:rsidRPr="00FD3BF3">
        <w:rPr>
          <w:rFonts w:cstheme="minorHAnsi"/>
        </w:rPr>
        <w:t>Art.44</w:t>
      </w:r>
      <w:r w:rsidR="00C44C98" w:rsidRPr="00FD3BF3">
        <w:rPr>
          <w:rFonts w:cstheme="minorHAnsi"/>
        </w:rPr>
        <w:t xml:space="preserve">, </w:t>
      </w:r>
      <w:r w:rsidR="00B93AF2" w:rsidRPr="00FD3BF3">
        <w:rPr>
          <w:rFonts w:cstheme="minorHAnsi"/>
        </w:rPr>
        <w:t>Verordening 1107/2009)</w:t>
      </w:r>
      <w:r w:rsidR="00C44C98" w:rsidRPr="00FD3BF3">
        <w:rPr>
          <w:rFonts w:cstheme="minorHAnsi"/>
        </w:rPr>
        <w:t xml:space="preserve">. </w:t>
      </w:r>
      <w:r w:rsidR="00B93AF2" w:rsidRPr="00FD3BF3">
        <w:rPr>
          <w:rFonts w:cstheme="minorHAnsi"/>
        </w:rPr>
        <w:t xml:space="preserve"> </w:t>
      </w:r>
    </w:p>
    <w:p w14:paraId="60A2BF05" w14:textId="11741772" w:rsidR="007B0978" w:rsidRPr="00FD3BF3" w:rsidRDefault="00B93AF2" w:rsidP="0026790C">
      <w:pPr>
        <w:jc w:val="both"/>
        <w:rPr>
          <w:rFonts w:cstheme="minorHAnsi"/>
        </w:rPr>
      </w:pPr>
      <w:r w:rsidRPr="00FD3BF3">
        <w:rPr>
          <w:rFonts w:cstheme="minorHAnsi"/>
        </w:rPr>
        <w:t xml:space="preserve">Uw argument </w:t>
      </w:r>
      <w:r w:rsidR="0043674E" w:rsidRPr="00FD3BF3">
        <w:rPr>
          <w:rFonts w:cstheme="minorHAnsi"/>
        </w:rPr>
        <w:t xml:space="preserve">om </w:t>
      </w:r>
      <w:r w:rsidR="00803CA8" w:rsidRPr="00FD3BF3">
        <w:rPr>
          <w:rFonts w:cstheme="minorHAnsi"/>
        </w:rPr>
        <w:t>de</w:t>
      </w:r>
      <w:r w:rsidR="0043674E" w:rsidRPr="00FD3BF3">
        <w:rPr>
          <w:rFonts w:cstheme="minorHAnsi"/>
        </w:rPr>
        <w:t xml:space="preserve"> middelen niet in te trekken </w:t>
      </w:r>
      <w:r w:rsidRPr="00FD3BF3">
        <w:rPr>
          <w:rFonts w:cstheme="minorHAnsi"/>
        </w:rPr>
        <w:t xml:space="preserve">is dat op basis van Art. 43 van dezelfde Verordening een herbeoordeling door u (als zonale Rapporteur) zal worden uitgevoerd zodra de aanvragers van middelen op basis van captan dossiers zullen indienen. De aanvragers </w:t>
      </w:r>
      <w:r w:rsidR="007B0978" w:rsidRPr="00FD3BF3">
        <w:rPr>
          <w:rFonts w:cstheme="minorHAnsi"/>
        </w:rPr>
        <w:t>moeten</w:t>
      </w:r>
      <w:r w:rsidRPr="00FD3BF3">
        <w:rPr>
          <w:rFonts w:cstheme="minorHAnsi"/>
        </w:rPr>
        <w:t xml:space="preserve"> </w:t>
      </w:r>
      <w:r w:rsidR="007B0978" w:rsidRPr="00FD3BF3">
        <w:rPr>
          <w:rFonts w:cstheme="minorHAnsi"/>
        </w:rPr>
        <w:t>voor</w:t>
      </w:r>
      <w:r w:rsidRPr="00FD3BF3">
        <w:rPr>
          <w:rFonts w:cstheme="minorHAnsi"/>
        </w:rPr>
        <w:t xml:space="preserve"> </w:t>
      </w:r>
      <w:r w:rsidR="007B0978" w:rsidRPr="00FD3BF3">
        <w:rPr>
          <w:rFonts w:cstheme="minorHAnsi"/>
        </w:rPr>
        <w:t xml:space="preserve">1 februari 2025 </w:t>
      </w:r>
      <w:r w:rsidRPr="00FD3BF3">
        <w:rPr>
          <w:rFonts w:cstheme="minorHAnsi"/>
        </w:rPr>
        <w:t xml:space="preserve">(3 maanden na de </w:t>
      </w:r>
      <w:r w:rsidR="007B0978" w:rsidRPr="00FD3BF3">
        <w:rPr>
          <w:rFonts w:cstheme="minorHAnsi"/>
        </w:rPr>
        <w:t xml:space="preserve">toepassing van de </w:t>
      </w:r>
      <w:r w:rsidR="0043674E" w:rsidRPr="00FD3BF3">
        <w:rPr>
          <w:rFonts w:cstheme="minorHAnsi"/>
        </w:rPr>
        <w:t xml:space="preserve">Europese </w:t>
      </w:r>
      <w:r w:rsidRPr="00FD3BF3">
        <w:rPr>
          <w:rFonts w:cstheme="minorHAnsi"/>
        </w:rPr>
        <w:t xml:space="preserve">hernieuwing van toelating van de werkzame stof) </w:t>
      </w:r>
      <w:r w:rsidR="007B0978" w:rsidRPr="00FD3BF3">
        <w:rPr>
          <w:rFonts w:cstheme="minorHAnsi"/>
        </w:rPr>
        <w:t>een nieuwe aanvraag indienen met een dossier. Daarna zal het Ctgb haar rol als zonale Rapporteur oppakken en overgaan tot een beoordeling van de dossiers en besluiten over de verdere toelating van middelen.</w:t>
      </w:r>
      <w:r w:rsidR="00C44C98" w:rsidRPr="00FD3BF3">
        <w:rPr>
          <w:rFonts w:cstheme="minorHAnsi"/>
        </w:rPr>
        <w:t xml:space="preserve"> Een verdere termijn van beoordeling en besluit is door u niet aangegeven.</w:t>
      </w:r>
    </w:p>
    <w:p w14:paraId="00E2F6E5" w14:textId="081D1AB2" w:rsidR="000F36C0" w:rsidRPr="00FD3BF3" w:rsidRDefault="007B0978" w:rsidP="0026790C">
      <w:pPr>
        <w:jc w:val="both"/>
        <w:rPr>
          <w:rFonts w:cstheme="minorHAnsi"/>
        </w:rPr>
      </w:pPr>
      <w:r w:rsidRPr="00FD3BF3">
        <w:rPr>
          <w:rFonts w:cstheme="minorHAnsi"/>
        </w:rPr>
        <w:t>Onder ‘implementatie goedkeuringsvoorwaarden’ geeft u aan dat het Ctgb  de voor</w:t>
      </w:r>
      <w:r w:rsidR="00C44C98" w:rsidRPr="00FD3BF3">
        <w:rPr>
          <w:rFonts w:cstheme="minorHAnsi"/>
        </w:rPr>
        <w:t>waar</w:t>
      </w:r>
      <w:r w:rsidRPr="00FD3BF3">
        <w:rPr>
          <w:rFonts w:cstheme="minorHAnsi"/>
        </w:rPr>
        <w:t>den van het hernieuwingsbesluit van captan van 3 september 2024 zal toepassen</w:t>
      </w:r>
      <w:r w:rsidR="000F36C0" w:rsidRPr="00FD3BF3">
        <w:rPr>
          <w:rFonts w:cstheme="minorHAnsi"/>
        </w:rPr>
        <w:t xml:space="preserve">, zoals </w:t>
      </w:r>
      <w:r w:rsidR="00D30DE3" w:rsidRPr="00FD3BF3">
        <w:rPr>
          <w:rFonts w:cstheme="minorHAnsi"/>
        </w:rPr>
        <w:t xml:space="preserve">de </w:t>
      </w:r>
      <w:r w:rsidR="000F36C0" w:rsidRPr="00FD3BF3">
        <w:rPr>
          <w:rFonts w:cstheme="minorHAnsi"/>
        </w:rPr>
        <w:t xml:space="preserve">gebruiksreducties. </w:t>
      </w:r>
      <w:r w:rsidR="00084CA7" w:rsidRPr="00FD3BF3">
        <w:rPr>
          <w:rFonts w:cstheme="minorHAnsi"/>
        </w:rPr>
        <w:t xml:space="preserve">Dit zal dan uiterlijk 1 februari 2025 </w:t>
      </w:r>
      <w:r w:rsidR="005C24AE" w:rsidRPr="00FD3BF3">
        <w:rPr>
          <w:rFonts w:cstheme="minorHAnsi"/>
        </w:rPr>
        <w:t xml:space="preserve">voor de </w:t>
      </w:r>
      <w:r w:rsidR="00084CA7" w:rsidRPr="00FD3BF3">
        <w:rPr>
          <w:rFonts w:cstheme="minorHAnsi"/>
        </w:rPr>
        <w:t>bestaande besluiten van de middelen plaatsvinden.</w:t>
      </w:r>
    </w:p>
    <w:p w14:paraId="08ED48F8" w14:textId="03248EE6" w:rsidR="00D30DE3" w:rsidRPr="00FD3BF3" w:rsidRDefault="00D30DE3" w:rsidP="0026790C">
      <w:pPr>
        <w:jc w:val="both"/>
        <w:rPr>
          <w:rFonts w:cstheme="minorHAnsi"/>
        </w:rPr>
      </w:pPr>
      <w:r w:rsidRPr="00FD3BF3">
        <w:rPr>
          <w:rFonts w:cstheme="minorHAnsi"/>
        </w:rPr>
        <w:t xml:space="preserve">Verder geeft u aan dat de metabolieten van captan door u nog steeds worden beschouwd als ‘niet-relevant’. En dat u de aanvragers de tijd geeft om deze </w:t>
      </w:r>
      <w:r w:rsidR="00C44C98" w:rsidRPr="00FD3BF3">
        <w:rPr>
          <w:rFonts w:cstheme="minorHAnsi"/>
        </w:rPr>
        <w:t xml:space="preserve">(beweerde) </w:t>
      </w:r>
      <w:r w:rsidRPr="00FD3BF3">
        <w:rPr>
          <w:rFonts w:cstheme="minorHAnsi"/>
        </w:rPr>
        <w:t>niet-relevantie aan te tonen.</w:t>
      </w:r>
    </w:p>
    <w:p w14:paraId="402E5C9B" w14:textId="0A5A864E" w:rsidR="000F36C0" w:rsidRPr="00FD3BF3" w:rsidRDefault="000F36C0" w:rsidP="0026790C">
      <w:pPr>
        <w:jc w:val="both"/>
        <w:rPr>
          <w:rFonts w:cstheme="minorHAnsi"/>
        </w:rPr>
      </w:pPr>
      <w:r w:rsidRPr="00FD3BF3">
        <w:rPr>
          <w:rFonts w:cstheme="minorHAnsi"/>
        </w:rPr>
        <w:t>U</w:t>
      </w:r>
      <w:r w:rsidR="00D30DE3" w:rsidRPr="00FD3BF3">
        <w:rPr>
          <w:rFonts w:cstheme="minorHAnsi"/>
        </w:rPr>
        <w:t>it u</w:t>
      </w:r>
      <w:r w:rsidRPr="00FD3BF3">
        <w:rPr>
          <w:rFonts w:cstheme="minorHAnsi"/>
        </w:rPr>
        <w:t xml:space="preserve">w deze stellingname concluderen wij het volgende. </w:t>
      </w:r>
    </w:p>
    <w:p w14:paraId="6CBF9EA7" w14:textId="265EAD15" w:rsidR="00512712" w:rsidRPr="00FD3BF3" w:rsidRDefault="00512712" w:rsidP="0026790C">
      <w:pPr>
        <w:pStyle w:val="Listenabsatz"/>
        <w:numPr>
          <w:ilvl w:val="0"/>
          <w:numId w:val="3"/>
        </w:numPr>
        <w:jc w:val="both"/>
        <w:rPr>
          <w:rFonts w:cstheme="minorHAnsi"/>
          <w:u w:val="single"/>
        </w:rPr>
      </w:pPr>
      <w:r w:rsidRPr="00FD3BF3">
        <w:rPr>
          <w:rFonts w:cstheme="minorHAnsi"/>
          <w:u w:val="single"/>
        </w:rPr>
        <w:t>Besluit negeert recente wetenschappelijke en technisch kennis (Art.4).</w:t>
      </w:r>
    </w:p>
    <w:p w14:paraId="72E33F22" w14:textId="13DF66D4" w:rsidR="009876B0" w:rsidRPr="00FD3BF3" w:rsidRDefault="000F36C0" w:rsidP="0026790C">
      <w:pPr>
        <w:jc w:val="both"/>
        <w:rPr>
          <w:rFonts w:cstheme="minorHAnsi"/>
        </w:rPr>
      </w:pPr>
      <w:r w:rsidRPr="00FD3BF3">
        <w:rPr>
          <w:rFonts w:cstheme="minorHAnsi"/>
        </w:rPr>
        <w:t>Het Ctgb volgt hiermee de politieke besluitvorming die resulteer</w:t>
      </w:r>
      <w:r w:rsidR="00512712" w:rsidRPr="00FD3BF3">
        <w:rPr>
          <w:rFonts w:cstheme="minorHAnsi"/>
        </w:rPr>
        <w:t>de</w:t>
      </w:r>
      <w:r w:rsidRPr="00FD3BF3">
        <w:rPr>
          <w:rFonts w:cstheme="minorHAnsi"/>
        </w:rPr>
        <w:t xml:space="preserve"> in het </w:t>
      </w:r>
      <w:r w:rsidR="00C44C98" w:rsidRPr="00FD3BF3">
        <w:rPr>
          <w:rFonts w:cstheme="minorHAnsi"/>
        </w:rPr>
        <w:t xml:space="preserve">Europese </w:t>
      </w:r>
      <w:r w:rsidRPr="00FD3BF3">
        <w:rPr>
          <w:rFonts w:cstheme="minorHAnsi"/>
        </w:rPr>
        <w:t>hernieuwingsbesluit</w:t>
      </w:r>
      <w:r w:rsidR="00512712" w:rsidRPr="00FD3BF3">
        <w:rPr>
          <w:rFonts w:cstheme="minorHAnsi"/>
        </w:rPr>
        <w:t xml:space="preserve"> </w:t>
      </w:r>
      <w:proofErr w:type="gramStart"/>
      <w:r w:rsidR="00C44C98" w:rsidRPr="00FD3BF3">
        <w:rPr>
          <w:rFonts w:cstheme="minorHAnsi"/>
        </w:rPr>
        <w:t>inzake</w:t>
      </w:r>
      <w:proofErr w:type="gramEnd"/>
      <w:r w:rsidR="00C44C98" w:rsidRPr="00FD3BF3">
        <w:rPr>
          <w:rFonts w:cstheme="minorHAnsi"/>
        </w:rPr>
        <w:t xml:space="preserve"> </w:t>
      </w:r>
      <w:r w:rsidR="00512712" w:rsidRPr="00FD3BF3">
        <w:rPr>
          <w:rFonts w:cstheme="minorHAnsi"/>
        </w:rPr>
        <w:t>captan van september 2024</w:t>
      </w:r>
      <w:r w:rsidRPr="00FD3BF3">
        <w:rPr>
          <w:rFonts w:cstheme="minorHAnsi"/>
        </w:rPr>
        <w:t xml:space="preserve"> en verwerpt daarmee de conclusies die door de Autoriteit</w:t>
      </w:r>
      <w:r w:rsidR="00512712" w:rsidRPr="00FD3BF3">
        <w:rPr>
          <w:rFonts w:cstheme="minorHAnsi"/>
        </w:rPr>
        <w:t xml:space="preserve"> EFSA</w:t>
      </w:r>
      <w:r w:rsidRPr="00FD3BF3">
        <w:rPr>
          <w:rFonts w:cstheme="minorHAnsi"/>
        </w:rPr>
        <w:t xml:space="preserve"> zijn getrokken. </w:t>
      </w:r>
      <w:r w:rsidR="009353F3" w:rsidRPr="00FD3BF3">
        <w:rPr>
          <w:rFonts w:cstheme="minorHAnsi"/>
        </w:rPr>
        <w:t xml:space="preserve">In de besluitvorming in de ‘Standing </w:t>
      </w:r>
      <w:proofErr w:type="spellStart"/>
      <w:r w:rsidR="009353F3" w:rsidRPr="00FD3BF3">
        <w:rPr>
          <w:rFonts w:cstheme="minorHAnsi"/>
        </w:rPr>
        <w:t>Committee</w:t>
      </w:r>
      <w:proofErr w:type="spellEnd"/>
      <w:r w:rsidR="009353F3" w:rsidRPr="00FD3BF3">
        <w:rPr>
          <w:rFonts w:cstheme="minorHAnsi"/>
        </w:rPr>
        <w:t>’</w:t>
      </w:r>
      <w:r w:rsidR="009353F3" w:rsidRPr="00FD3BF3">
        <w:rPr>
          <w:rStyle w:val="Funotenzeichen"/>
          <w:rFonts w:cstheme="minorHAnsi"/>
        </w:rPr>
        <w:footnoteReference w:id="1"/>
      </w:r>
      <w:r w:rsidR="009353F3" w:rsidRPr="00FD3BF3">
        <w:rPr>
          <w:rFonts w:cstheme="minorHAnsi"/>
        </w:rPr>
        <w:t xml:space="preserve"> wierpen een aantal landen op dat hun boeren het pesticide niet konden missen en wensten ze een door de Commissie </w:t>
      </w:r>
      <w:r w:rsidR="009353F3" w:rsidRPr="00FD3BF3">
        <w:rPr>
          <w:rFonts w:cstheme="minorHAnsi"/>
        </w:rPr>
        <w:lastRenderedPageBreak/>
        <w:t xml:space="preserve">voorgesteld verbod van het pesticide in open veld niet te steunen. </w:t>
      </w:r>
      <w:r w:rsidR="00512712" w:rsidRPr="00FD3BF3">
        <w:rPr>
          <w:rFonts w:cstheme="minorHAnsi"/>
        </w:rPr>
        <w:t xml:space="preserve">EFSA </w:t>
      </w:r>
      <w:r w:rsidR="009353F3" w:rsidRPr="00FD3BF3">
        <w:rPr>
          <w:rFonts w:cstheme="minorHAnsi"/>
        </w:rPr>
        <w:t xml:space="preserve">echter, </w:t>
      </w:r>
      <w:r w:rsidR="00512712" w:rsidRPr="00FD3BF3">
        <w:rPr>
          <w:rFonts w:cstheme="minorHAnsi"/>
        </w:rPr>
        <w:t xml:space="preserve">concludeerde glashelder, en wel tot </w:t>
      </w:r>
      <w:r w:rsidR="00FD3BF3" w:rsidRPr="00FD3BF3">
        <w:rPr>
          <w:rFonts w:cstheme="minorHAnsi"/>
        </w:rPr>
        <w:t>tweemaal</w:t>
      </w:r>
      <w:r w:rsidR="00512712" w:rsidRPr="00FD3BF3">
        <w:rPr>
          <w:rFonts w:cstheme="minorHAnsi"/>
        </w:rPr>
        <w:t xml:space="preserve"> toe, dat er geen veilige toe</w:t>
      </w:r>
      <w:r w:rsidR="0008444C" w:rsidRPr="00FD3BF3">
        <w:rPr>
          <w:rFonts w:cstheme="minorHAnsi"/>
        </w:rPr>
        <w:t>passingen</w:t>
      </w:r>
      <w:r w:rsidR="00512712" w:rsidRPr="00FD3BF3">
        <w:rPr>
          <w:rFonts w:cstheme="minorHAnsi"/>
        </w:rPr>
        <w:t xml:space="preserve"> zijn voor het gebruik van captan in open velden, ook niet als de aangepaste doseringen van het hernieuwings</w:t>
      </w:r>
      <w:r w:rsidR="00FD3BF3" w:rsidRPr="00FD3BF3">
        <w:rPr>
          <w:rFonts w:cstheme="minorHAnsi"/>
        </w:rPr>
        <w:t>-</w:t>
      </w:r>
      <w:r w:rsidR="00512712" w:rsidRPr="00FD3BF3">
        <w:rPr>
          <w:rFonts w:cstheme="minorHAnsi"/>
        </w:rPr>
        <w:t>besluit worden gehanteerd. Dit betekent dat het Ctgb niet de recente wetenschappelijke en technische kennis als basis neemt van haar besluit</w:t>
      </w:r>
      <w:r w:rsidR="009876B0" w:rsidRPr="00FD3BF3">
        <w:rPr>
          <w:rStyle w:val="Funotenzeichen"/>
          <w:rFonts w:cstheme="minorHAnsi"/>
        </w:rPr>
        <w:footnoteReference w:id="2"/>
      </w:r>
      <w:r w:rsidR="00512712" w:rsidRPr="00FD3BF3">
        <w:rPr>
          <w:rFonts w:cstheme="minorHAnsi"/>
        </w:rPr>
        <w:t>, maar kennelijk politieke overwegingen</w:t>
      </w:r>
      <w:r w:rsidR="009353F3" w:rsidRPr="00FD3BF3">
        <w:rPr>
          <w:rFonts w:cstheme="minorHAnsi"/>
        </w:rPr>
        <w:t xml:space="preserve"> om het landbouwbelang </w:t>
      </w:r>
      <w:r w:rsidR="0043674E" w:rsidRPr="00FD3BF3">
        <w:rPr>
          <w:rFonts w:cstheme="minorHAnsi"/>
        </w:rPr>
        <w:t xml:space="preserve">boven </w:t>
      </w:r>
      <w:r w:rsidR="00C44C98" w:rsidRPr="00FD3BF3">
        <w:rPr>
          <w:rFonts w:cstheme="minorHAnsi"/>
        </w:rPr>
        <w:t>de belangen van</w:t>
      </w:r>
      <w:r w:rsidR="009353F3" w:rsidRPr="00FD3BF3">
        <w:rPr>
          <w:rFonts w:cstheme="minorHAnsi"/>
        </w:rPr>
        <w:t xml:space="preserve"> mens en milieu </w:t>
      </w:r>
      <w:r w:rsidR="004E4058" w:rsidRPr="00FD3BF3">
        <w:rPr>
          <w:rFonts w:cstheme="minorHAnsi"/>
        </w:rPr>
        <w:t xml:space="preserve">laat </w:t>
      </w:r>
      <w:r w:rsidR="009353F3" w:rsidRPr="00FD3BF3">
        <w:rPr>
          <w:rFonts w:cstheme="minorHAnsi"/>
        </w:rPr>
        <w:t xml:space="preserve">prevaleren. </w:t>
      </w:r>
      <w:proofErr w:type="spellStart"/>
      <w:r w:rsidR="00512712" w:rsidRPr="00FD3BF3">
        <w:rPr>
          <w:rFonts w:cstheme="minorHAnsi"/>
          <w:lang w:val="en-GB"/>
        </w:rPr>
        <w:t>Dit</w:t>
      </w:r>
      <w:proofErr w:type="spellEnd"/>
      <w:r w:rsidR="00512712" w:rsidRPr="00FD3BF3">
        <w:rPr>
          <w:rFonts w:cstheme="minorHAnsi"/>
          <w:lang w:val="en-GB"/>
        </w:rPr>
        <w:t xml:space="preserve"> is </w:t>
      </w:r>
      <w:proofErr w:type="spellStart"/>
      <w:r w:rsidR="00512712" w:rsidRPr="00FD3BF3">
        <w:rPr>
          <w:rFonts w:cstheme="minorHAnsi"/>
          <w:lang w:val="en-GB"/>
        </w:rPr>
        <w:t>een</w:t>
      </w:r>
      <w:proofErr w:type="spellEnd"/>
      <w:r w:rsidR="00512712" w:rsidRPr="00FD3BF3">
        <w:rPr>
          <w:rFonts w:cstheme="minorHAnsi"/>
          <w:lang w:val="en-GB"/>
        </w:rPr>
        <w:t xml:space="preserve"> </w:t>
      </w:r>
      <w:proofErr w:type="spellStart"/>
      <w:r w:rsidR="00512712" w:rsidRPr="00FD3BF3">
        <w:rPr>
          <w:rFonts w:cstheme="minorHAnsi"/>
          <w:lang w:val="en-GB"/>
        </w:rPr>
        <w:t>duidelijke</w:t>
      </w:r>
      <w:proofErr w:type="spellEnd"/>
      <w:r w:rsidR="00512712" w:rsidRPr="00FD3BF3">
        <w:rPr>
          <w:rFonts w:cstheme="minorHAnsi"/>
          <w:lang w:val="en-GB"/>
        </w:rPr>
        <w:t xml:space="preserve"> </w:t>
      </w:r>
      <w:proofErr w:type="spellStart"/>
      <w:r w:rsidR="00512712" w:rsidRPr="00FD3BF3">
        <w:rPr>
          <w:rFonts w:cstheme="minorHAnsi"/>
          <w:lang w:val="en-GB"/>
        </w:rPr>
        <w:t>fout</w:t>
      </w:r>
      <w:proofErr w:type="spellEnd"/>
      <w:r w:rsidR="00512712" w:rsidRPr="00FD3BF3">
        <w:rPr>
          <w:rFonts w:cstheme="minorHAnsi"/>
          <w:lang w:val="en-GB"/>
        </w:rPr>
        <w:t xml:space="preserve"> in de </w:t>
      </w:r>
      <w:proofErr w:type="spellStart"/>
      <w:r w:rsidR="00512712" w:rsidRPr="00FD3BF3">
        <w:rPr>
          <w:rFonts w:cstheme="minorHAnsi"/>
          <w:lang w:val="en-GB"/>
        </w:rPr>
        <w:t>besluitvorming</w:t>
      </w:r>
      <w:proofErr w:type="spellEnd"/>
      <w:r w:rsidR="00512712" w:rsidRPr="00FD3BF3">
        <w:rPr>
          <w:rFonts w:cstheme="minorHAnsi"/>
          <w:lang w:val="en-GB"/>
        </w:rPr>
        <w:t xml:space="preserve">.  </w:t>
      </w:r>
      <w:r w:rsidR="009876B0" w:rsidRPr="00FD3BF3">
        <w:rPr>
          <w:rFonts w:cstheme="minorHAnsi"/>
          <w:lang w:val="en-GB"/>
        </w:rPr>
        <w:t xml:space="preserve">De </w:t>
      </w:r>
      <w:proofErr w:type="spellStart"/>
      <w:r w:rsidR="009876B0" w:rsidRPr="00FD3BF3">
        <w:rPr>
          <w:rFonts w:cstheme="minorHAnsi"/>
          <w:lang w:val="en-GB"/>
        </w:rPr>
        <w:t>Verordening</w:t>
      </w:r>
      <w:proofErr w:type="spellEnd"/>
      <w:r w:rsidR="009876B0" w:rsidRPr="00FD3BF3">
        <w:rPr>
          <w:rFonts w:cstheme="minorHAnsi"/>
          <w:lang w:val="en-GB"/>
        </w:rPr>
        <w:t xml:space="preserve"> </w:t>
      </w:r>
      <w:proofErr w:type="spellStart"/>
      <w:r w:rsidR="009876B0" w:rsidRPr="00FD3BF3">
        <w:rPr>
          <w:rFonts w:cstheme="minorHAnsi"/>
          <w:lang w:val="en-GB"/>
        </w:rPr>
        <w:t>bepaalt</w:t>
      </w:r>
      <w:proofErr w:type="spellEnd"/>
      <w:r w:rsidR="009876B0" w:rsidRPr="00FD3BF3">
        <w:rPr>
          <w:rFonts w:cstheme="minorHAnsi"/>
          <w:lang w:val="en-GB"/>
        </w:rPr>
        <w:t xml:space="preserve"> immers: (whereas 24): “…</w:t>
      </w:r>
      <w:r w:rsidR="009876B0" w:rsidRPr="00FD3BF3">
        <w:rPr>
          <w:rFonts w:cstheme="minorHAnsi"/>
          <w:i/>
          <w:iCs/>
          <w:lang w:val="en-GB"/>
        </w:rPr>
        <w:t>the objective of protecting human and animal health and the environment should take priority over the objective of improving plant production</w:t>
      </w:r>
      <w:r w:rsidR="009876B0" w:rsidRPr="00FD3BF3">
        <w:rPr>
          <w:rFonts w:cstheme="minorHAnsi"/>
          <w:lang w:val="en-GB"/>
        </w:rPr>
        <w:t xml:space="preserve">”. </w:t>
      </w:r>
      <w:r w:rsidR="009876B0" w:rsidRPr="00FD3BF3">
        <w:rPr>
          <w:rFonts w:cstheme="minorHAnsi"/>
        </w:rPr>
        <w:t xml:space="preserve">En dus </w:t>
      </w:r>
      <w:r w:rsidR="0043674E" w:rsidRPr="00FD3BF3">
        <w:rPr>
          <w:rFonts w:cstheme="minorHAnsi"/>
        </w:rPr>
        <w:t xml:space="preserve">is het </w:t>
      </w:r>
      <w:r w:rsidR="009876B0" w:rsidRPr="00FD3BF3">
        <w:rPr>
          <w:rFonts w:cstheme="minorHAnsi"/>
        </w:rPr>
        <w:t xml:space="preserve">niet andersom dat de landbouwproductie prioriteit heeft over de bescherming van mens en milieu, zoals het Ctgb kennelijk aanneemt. </w:t>
      </w:r>
    </w:p>
    <w:p w14:paraId="066048E6" w14:textId="3DDB6970" w:rsidR="009876B0" w:rsidRPr="00FD3BF3" w:rsidRDefault="009876B0" w:rsidP="0026790C">
      <w:pPr>
        <w:jc w:val="both"/>
        <w:rPr>
          <w:rFonts w:cstheme="minorHAnsi"/>
        </w:rPr>
      </w:pPr>
      <w:r w:rsidRPr="00FD3BF3">
        <w:rPr>
          <w:rFonts w:cstheme="minorHAnsi"/>
          <w:lang w:val="en-GB"/>
        </w:rPr>
        <w:t xml:space="preserve">Ook over </w:t>
      </w:r>
      <w:proofErr w:type="spellStart"/>
      <w:r w:rsidRPr="00FD3BF3">
        <w:rPr>
          <w:rFonts w:cstheme="minorHAnsi"/>
          <w:lang w:val="en-GB"/>
        </w:rPr>
        <w:t>dit</w:t>
      </w:r>
      <w:proofErr w:type="spellEnd"/>
      <w:r w:rsidRPr="00FD3BF3">
        <w:rPr>
          <w:rFonts w:cstheme="minorHAnsi"/>
          <w:lang w:val="en-GB"/>
        </w:rPr>
        <w:t xml:space="preserve"> punt </w:t>
      </w:r>
      <w:proofErr w:type="spellStart"/>
      <w:r w:rsidRPr="00FD3BF3">
        <w:rPr>
          <w:rFonts w:cstheme="minorHAnsi"/>
          <w:lang w:val="en-GB"/>
        </w:rPr>
        <w:t>heeft</w:t>
      </w:r>
      <w:proofErr w:type="spellEnd"/>
      <w:r w:rsidRPr="00FD3BF3">
        <w:rPr>
          <w:rFonts w:cstheme="minorHAnsi"/>
          <w:lang w:val="en-GB"/>
        </w:rPr>
        <w:t xml:space="preserve"> het EU Hof </w:t>
      </w:r>
      <w:proofErr w:type="spellStart"/>
      <w:r w:rsidRPr="00FD3BF3">
        <w:rPr>
          <w:rFonts w:cstheme="minorHAnsi"/>
          <w:lang w:val="en-GB"/>
        </w:rPr>
        <w:t>zich</w:t>
      </w:r>
      <w:proofErr w:type="spellEnd"/>
      <w:r w:rsidRPr="00FD3BF3">
        <w:rPr>
          <w:rFonts w:cstheme="minorHAnsi"/>
          <w:lang w:val="en-GB"/>
        </w:rPr>
        <w:t xml:space="preserve"> </w:t>
      </w:r>
      <w:proofErr w:type="spellStart"/>
      <w:r w:rsidRPr="00FD3BF3">
        <w:rPr>
          <w:rFonts w:cstheme="minorHAnsi"/>
          <w:lang w:val="en-GB"/>
        </w:rPr>
        <w:t>duidelijk</w:t>
      </w:r>
      <w:proofErr w:type="spellEnd"/>
      <w:r w:rsidRPr="00FD3BF3">
        <w:rPr>
          <w:rFonts w:cstheme="minorHAnsi"/>
          <w:lang w:val="en-GB"/>
        </w:rPr>
        <w:t xml:space="preserve"> </w:t>
      </w:r>
      <w:proofErr w:type="spellStart"/>
      <w:r w:rsidRPr="00FD3BF3">
        <w:rPr>
          <w:rFonts w:cstheme="minorHAnsi"/>
          <w:lang w:val="en-GB"/>
        </w:rPr>
        <w:t>uitgesproken</w:t>
      </w:r>
      <w:proofErr w:type="spellEnd"/>
      <w:r w:rsidRPr="00FD3BF3">
        <w:rPr>
          <w:rStyle w:val="Funotenzeichen"/>
          <w:rFonts w:cstheme="minorHAnsi"/>
        </w:rPr>
        <w:footnoteReference w:id="3"/>
      </w:r>
      <w:r w:rsidRPr="00FD3BF3">
        <w:rPr>
          <w:rFonts w:cstheme="minorHAnsi"/>
          <w:lang w:val="en-GB"/>
        </w:rPr>
        <w:t>: “</w:t>
      </w:r>
      <w:r w:rsidRPr="00FD3BF3">
        <w:rPr>
          <w:rFonts w:cstheme="minorHAnsi"/>
          <w:i/>
          <w:iCs/>
          <w:lang w:val="en-GB"/>
        </w:rPr>
        <w:t>In that connection, by referring to recital 24 of Regulation No 1107/2009, the Court has already ruled that the provisions governing the granting of authorisations for the placing of plant protection products on the market must ensure a high level of protection and, when granting such authorisations, the objective of protecting human and animal health and the environment should ‘take priority’ over the objective of improving plant production (judgment of 19 January 2023, Pesticide Action Network Europe and Others, C-162/21, EU:C:2023:30, paragraph 48 and the case-law cited)</w:t>
      </w:r>
      <w:r w:rsidRPr="00FD3BF3">
        <w:rPr>
          <w:rFonts w:cstheme="minorHAnsi"/>
          <w:lang w:val="en-GB"/>
        </w:rPr>
        <w:t>”.</w:t>
      </w:r>
      <w:r w:rsidR="00FD3BF3" w:rsidRPr="00FD3BF3">
        <w:rPr>
          <w:rFonts w:cstheme="minorHAnsi"/>
          <w:lang w:val="en-GB"/>
        </w:rPr>
        <w:t xml:space="preserve"> </w:t>
      </w:r>
      <w:r w:rsidR="0043674E" w:rsidRPr="00FD3BF3">
        <w:rPr>
          <w:rFonts w:cstheme="minorHAnsi"/>
        </w:rPr>
        <w:t>Het EU Hof</w:t>
      </w:r>
      <w:r w:rsidRPr="00FD3BF3">
        <w:rPr>
          <w:rFonts w:cstheme="minorHAnsi"/>
        </w:rPr>
        <w:t xml:space="preserve"> laat niets aan duidelijk te wensen over</w:t>
      </w:r>
      <w:r w:rsidR="00C44C98" w:rsidRPr="00FD3BF3">
        <w:rPr>
          <w:rFonts w:cstheme="minorHAnsi"/>
        </w:rPr>
        <w:t>, een hoog beschermingsniveau en het laten prevaleren van het belang van mens en milieu, ook voor de nationale toelating dus.</w:t>
      </w:r>
    </w:p>
    <w:p w14:paraId="65087D9A" w14:textId="6D3F1090" w:rsidR="0047585B" w:rsidRPr="00FD3BF3" w:rsidRDefault="0047585B" w:rsidP="0026790C">
      <w:pPr>
        <w:spacing w:after="0"/>
        <w:jc w:val="both"/>
        <w:rPr>
          <w:rFonts w:cstheme="minorHAnsi"/>
        </w:rPr>
      </w:pPr>
      <w:r w:rsidRPr="00FD3BF3">
        <w:rPr>
          <w:rFonts w:cstheme="minorHAnsi"/>
        </w:rPr>
        <w:t>Art. 44.3 verplicht het Ctgb in actie te komen als blijkt dat niet langer aan de voorwaarden uit Art. 29 wordt voldaan:</w:t>
      </w:r>
    </w:p>
    <w:p w14:paraId="11C7683F" w14:textId="77777777" w:rsidR="0047585B" w:rsidRPr="00FD3BF3" w:rsidRDefault="0047585B" w:rsidP="0026790C">
      <w:pPr>
        <w:spacing w:after="0"/>
        <w:jc w:val="both"/>
        <w:rPr>
          <w:rFonts w:cstheme="minorHAnsi"/>
          <w:i/>
          <w:iCs/>
          <w:lang w:val="en-GB"/>
        </w:rPr>
      </w:pPr>
      <w:r w:rsidRPr="00FD3BF3">
        <w:rPr>
          <w:rFonts w:cstheme="minorHAnsi"/>
          <w:i/>
          <w:iCs/>
          <w:lang w:val="en-GB"/>
        </w:rPr>
        <w:t>Art. 44.3. The Member State shall withdraw or amend the authorisation, as appropriate, where:</w:t>
      </w:r>
    </w:p>
    <w:p w14:paraId="76819684" w14:textId="29F6F08F" w:rsidR="0047585B" w:rsidRPr="00FD3BF3" w:rsidRDefault="0047585B" w:rsidP="0026790C">
      <w:pPr>
        <w:spacing w:after="0"/>
        <w:jc w:val="both"/>
        <w:rPr>
          <w:rFonts w:cstheme="minorHAnsi"/>
          <w:i/>
          <w:iCs/>
          <w:lang w:val="en-GB"/>
        </w:rPr>
      </w:pPr>
      <w:r w:rsidRPr="00FD3BF3">
        <w:rPr>
          <w:rFonts w:cstheme="minorHAnsi"/>
          <w:i/>
          <w:iCs/>
          <w:lang w:val="en-GB"/>
        </w:rPr>
        <w:t>(a) the requirements referred to in Article 29 are not or are no longer satisfied</w:t>
      </w:r>
    </w:p>
    <w:p w14:paraId="1B47B1C1" w14:textId="77777777" w:rsidR="00C44C98" w:rsidRPr="00FD3BF3" w:rsidRDefault="00C44C98" w:rsidP="0026790C">
      <w:pPr>
        <w:spacing w:after="0"/>
        <w:jc w:val="both"/>
        <w:rPr>
          <w:rFonts w:cstheme="minorHAnsi"/>
          <w:lang w:val="en-GB"/>
        </w:rPr>
      </w:pPr>
    </w:p>
    <w:p w14:paraId="5D7220B2" w14:textId="0A4A3E07" w:rsidR="00CA2C5A" w:rsidRPr="00FD3BF3" w:rsidRDefault="00CA2C5A" w:rsidP="0026790C">
      <w:pPr>
        <w:spacing w:after="0"/>
        <w:jc w:val="both"/>
        <w:rPr>
          <w:rFonts w:cstheme="minorHAnsi"/>
        </w:rPr>
      </w:pPr>
      <w:r w:rsidRPr="00FD3BF3">
        <w:rPr>
          <w:rFonts w:cstheme="minorHAnsi"/>
        </w:rPr>
        <w:t>Toepassing van Art. 44 is niets bijzonders</w:t>
      </w:r>
      <w:r w:rsidR="00C44C98" w:rsidRPr="00FD3BF3">
        <w:rPr>
          <w:rFonts w:cstheme="minorHAnsi"/>
        </w:rPr>
        <w:t xml:space="preserve">. </w:t>
      </w:r>
      <w:r w:rsidR="0043674E" w:rsidRPr="00FD3BF3">
        <w:rPr>
          <w:rFonts w:cstheme="minorHAnsi"/>
        </w:rPr>
        <w:t>Regelmatig</w:t>
      </w:r>
      <w:r w:rsidRPr="00FD3BF3">
        <w:rPr>
          <w:rFonts w:cstheme="minorHAnsi"/>
        </w:rPr>
        <w:t xml:space="preserve"> trekken lidstaten middelen in als bl</w:t>
      </w:r>
      <w:r w:rsidR="00C44C98" w:rsidRPr="00FD3BF3">
        <w:rPr>
          <w:rFonts w:cstheme="minorHAnsi"/>
        </w:rPr>
        <w:t>i</w:t>
      </w:r>
      <w:r w:rsidRPr="00FD3BF3">
        <w:rPr>
          <w:rFonts w:cstheme="minorHAnsi"/>
        </w:rPr>
        <w:t>jkt dat niet aan de voorwaarden van Art. 29 wordt voldaan.</w:t>
      </w:r>
    </w:p>
    <w:p w14:paraId="2D5B46D9" w14:textId="77777777" w:rsidR="0043674E" w:rsidRPr="00FD3BF3" w:rsidRDefault="0043674E" w:rsidP="0026790C">
      <w:pPr>
        <w:spacing w:after="0"/>
        <w:jc w:val="both"/>
        <w:rPr>
          <w:rFonts w:cstheme="minorHAnsi"/>
        </w:rPr>
      </w:pPr>
    </w:p>
    <w:p w14:paraId="59A94AF4" w14:textId="3D6D22CD" w:rsidR="0047585B" w:rsidRPr="00FD3BF3" w:rsidRDefault="0047585B" w:rsidP="0026790C">
      <w:pPr>
        <w:spacing w:after="0"/>
        <w:jc w:val="both"/>
        <w:rPr>
          <w:rFonts w:cstheme="minorHAnsi"/>
        </w:rPr>
      </w:pPr>
      <w:r w:rsidRPr="00FD3BF3">
        <w:rPr>
          <w:rFonts w:cstheme="minorHAnsi"/>
        </w:rPr>
        <w:t xml:space="preserve">Art. 29.1.e bepaalt dat op basis van de </w:t>
      </w:r>
      <w:r w:rsidRPr="00FD3BF3">
        <w:rPr>
          <w:rFonts w:cstheme="minorHAnsi"/>
          <w:b/>
          <w:bCs/>
        </w:rPr>
        <w:t>recente wetenschappelijke en technische inzichten</w:t>
      </w:r>
      <w:r w:rsidRPr="00FD3BF3">
        <w:rPr>
          <w:rFonts w:cstheme="minorHAnsi"/>
        </w:rPr>
        <w:t xml:space="preserve"> moet worden bepaald of nog aan Art. 4.3 wordt voldaan:</w:t>
      </w:r>
    </w:p>
    <w:p w14:paraId="299089C7" w14:textId="5D3A5022" w:rsidR="007004BB" w:rsidRPr="00FD3BF3" w:rsidRDefault="007004BB" w:rsidP="0026790C">
      <w:pPr>
        <w:spacing w:after="0"/>
        <w:jc w:val="both"/>
        <w:rPr>
          <w:rFonts w:cstheme="minorHAnsi"/>
          <w:i/>
          <w:iCs/>
          <w:lang w:val="en-GB"/>
        </w:rPr>
      </w:pPr>
      <w:r w:rsidRPr="00FD3BF3">
        <w:rPr>
          <w:rFonts w:cstheme="minorHAnsi"/>
          <w:i/>
          <w:iCs/>
          <w:lang w:val="en-GB"/>
        </w:rPr>
        <w:t>Art. 29.1.e) in the light of current scientific and technical knowledge, it complies with the requirements provided for in Article 4(3)</w:t>
      </w:r>
      <w:r w:rsidR="0043674E" w:rsidRPr="00FD3BF3">
        <w:rPr>
          <w:rFonts w:cstheme="minorHAnsi"/>
          <w:i/>
          <w:iCs/>
          <w:lang w:val="en-GB"/>
        </w:rPr>
        <w:t>.</w:t>
      </w:r>
    </w:p>
    <w:p w14:paraId="0C240F0B" w14:textId="77777777" w:rsidR="0043674E" w:rsidRPr="00FD3BF3" w:rsidRDefault="0043674E" w:rsidP="0026790C">
      <w:pPr>
        <w:spacing w:after="0"/>
        <w:jc w:val="both"/>
        <w:rPr>
          <w:rFonts w:cstheme="minorHAnsi"/>
          <w:lang w:val="en-GB"/>
        </w:rPr>
      </w:pPr>
    </w:p>
    <w:p w14:paraId="1D2601F1" w14:textId="04FEC7CB" w:rsidR="0047585B" w:rsidRPr="00FD3BF3" w:rsidRDefault="0047585B" w:rsidP="0026790C">
      <w:pPr>
        <w:spacing w:after="0"/>
        <w:jc w:val="both"/>
        <w:rPr>
          <w:rFonts w:cstheme="minorHAnsi"/>
        </w:rPr>
      </w:pPr>
      <w:r w:rsidRPr="00FD3BF3">
        <w:rPr>
          <w:rFonts w:cstheme="minorHAnsi"/>
        </w:rPr>
        <w:t xml:space="preserve">In Art. 4.3 worden </w:t>
      </w:r>
      <w:r w:rsidR="00E958C1" w:rsidRPr="00FD3BF3">
        <w:rPr>
          <w:rFonts w:cstheme="minorHAnsi"/>
        </w:rPr>
        <w:t>d</w:t>
      </w:r>
      <w:r w:rsidRPr="00FD3BF3">
        <w:rPr>
          <w:rFonts w:cstheme="minorHAnsi"/>
        </w:rPr>
        <w:t>e toelatingsvoorwaarden opgesomd:</w:t>
      </w:r>
    </w:p>
    <w:p w14:paraId="0647E306" w14:textId="3F1A3270" w:rsidR="007004BB" w:rsidRPr="00FD3BF3" w:rsidRDefault="007004BB" w:rsidP="0026790C">
      <w:pPr>
        <w:spacing w:after="0"/>
        <w:jc w:val="both"/>
        <w:rPr>
          <w:rFonts w:cstheme="minorHAnsi"/>
          <w:i/>
          <w:iCs/>
          <w:lang w:val="en-GB"/>
        </w:rPr>
      </w:pPr>
      <w:r w:rsidRPr="00FD3BF3">
        <w:rPr>
          <w:rFonts w:cstheme="minorHAnsi"/>
          <w:i/>
          <w:iCs/>
          <w:lang w:val="en-GB"/>
        </w:rPr>
        <w:t>Art.4. 3. A plant protection product, consequent on application consistent with good plant protection practice and having regard to realistic conditions of use, shall meet the following</w:t>
      </w:r>
    </w:p>
    <w:p w14:paraId="0EDD0DF6" w14:textId="77777777" w:rsidR="007004BB" w:rsidRPr="00FD3BF3" w:rsidRDefault="007004BB" w:rsidP="0026790C">
      <w:pPr>
        <w:spacing w:after="0"/>
        <w:jc w:val="both"/>
        <w:rPr>
          <w:rFonts w:cstheme="minorHAnsi"/>
          <w:i/>
          <w:iCs/>
          <w:lang w:val="en-GB"/>
        </w:rPr>
      </w:pPr>
      <w:r w:rsidRPr="00FD3BF3">
        <w:rPr>
          <w:rFonts w:cstheme="minorHAnsi"/>
          <w:i/>
          <w:iCs/>
          <w:lang w:val="en-GB"/>
        </w:rPr>
        <w:t>requirements:</w:t>
      </w:r>
    </w:p>
    <w:p w14:paraId="516D535C" w14:textId="77777777" w:rsidR="007004BB" w:rsidRPr="00FD3BF3" w:rsidRDefault="007004BB" w:rsidP="0026790C">
      <w:pPr>
        <w:spacing w:after="0"/>
        <w:jc w:val="both"/>
        <w:rPr>
          <w:rFonts w:cstheme="minorHAnsi"/>
          <w:i/>
          <w:iCs/>
          <w:lang w:val="en-GB"/>
        </w:rPr>
      </w:pPr>
      <w:r w:rsidRPr="00FD3BF3">
        <w:rPr>
          <w:rFonts w:cstheme="minorHAnsi"/>
          <w:i/>
          <w:iCs/>
          <w:lang w:val="en-GB"/>
        </w:rPr>
        <w:t xml:space="preserve">(a) it shall be sufficiently </w:t>
      </w:r>
      <w:proofErr w:type="gramStart"/>
      <w:r w:rsidRPr="00FD3BF3">
        <w:rPr>
          <w:rFonts w:cstheme="minorHAnsi"/>
          <w:i/>
          <w:iCs/>
          <w:lang w:val="en-GB"/>
        </w:rPr>
        <w:t>effective;</w:t>
      </w:r>
      <w:proofErr w:type="gramEnd"/>
    </w:p>
    <w:p w14:paraId="703A01BA" w14:textId="554F72BC" w:rsidR="007004BB" w:rsidRPr="00FD3BF3" w:rsidRDefault="007004BB" w:rsidP="0026790C">
      <w:pPr>
        <w:spacing w:after="0"/>
        <w:jc w:val="both"/>
        <w:rPr>
          <w:rFonts w:cstheme="minorHAnsi"/>
          <w:i/>
          <w:iCs/>
          <w:lang w:val="en-GB"/>
        </w:rPr>
      </w:pPr>
      <w:r w:rsidRPr="00FD3BF3">
        <w:rPr>
          <w:rFonts w:cstheme="minorHAnsi"/>
          <w:i/>
          <w:iCs/>
          <w:lang w:val="en-GB"/>
        </w:rPr>
        <w:t>(b) it shall have no immediate or delayed harmful effect on</w:t>
      </w:r>
      <w:r w:rsidR="0047585B" w:rsidRPr="00FD3BF3">
        <w:rPr>
          <w:rFonts w:cstheme="minorHAnsi"/>
          <w:i/>
          <w:iCs/>
          <w:lang w:val="en-GB"/>
        </w:rPr>
        <w:t xml:space="preserve"> </w:t>
      </w:r>
      <w:r w:rsidRPr="00FD3BF3">
        <w:rPr>
          <w:rFonts w:cstheme="minorHAnsi"/>
          <w:i/>
          <w:iCs/>
          <w:lang w:val="en-GB"/>
        </w:rPr>
        <w:t>human health, including that of vulnerable groups, or animal health, directly or through drinking water (taking into account substances resulting from water treatment), food, feed or air, or consequences in the workplace or through other indirect effects, taking into account known cumulative and synergistic effects where the scientific methods accepted by the Authority to assess such effects are available; or on groundwater;</w:t>
      </w:r>
    </w:p>
    <w:p w14:paraId="36320E9C" w14:textId="0860638E" w:rsidR="007004BB" w:rsidRPr="00FD3BF3" w:rsidRDefault="007004BB" w:rsidP="0026790C">
      <w:pPr>
        <w:spacing w:after="0"/>
        <w:jc w:val="both"/>
        <w:rPr>
          <w:rFonts w:cstheme="minorHAnsi"/>
          <w:i/>
          <w:iCs/>
          <w:lang w:val="en-GB"/>
        </w:rPr>
      </w:pPr>
      <w:r w:rsidRPr="00FD3BF3">
        <w:rPr>
          <w:rFonts w:cstheme="minorHAnsi"/>
          <w:i/>
          <w:iCs/>
          <w:lang w:val="en-GB"/>
        </w:rPr>
        <w:t xml:space="preserve">(c) it shall not have any unacceptable effects on plants or plant </w:t>
      </w:r>
      <w:proofErr w:type="gramStart"/>
      <w:r w:rsidRPr="00FD3BF3">
        <w:rPr>
          <w:rFonts w:cstheme="minorHAnsi"/>
          <w:i/>
          <w:iCs/>
          <w:lang w:val="en-GB"/>
        </w:rPr>
        <w:t>products;</w:t>
      </w:r>
      <w:proofErr w:type="gramEnd"/>
    </w:p>
    <w:p w14:paraId="479426AA" w14:textId="74D7F428" w:rsidR="007004BB" w:rsidRPr="00FD3BF3" w:rsidRDefault="007004BB" w:rsidP="0026790C">
      <w:pPr>
        <w:spacing w:after="0"/>
        <w:jc w:val="both"/>
        <w:rPr>
          <w:rFonts w:cstheme="minorHAnsi"/>
          <w:i/>
          <w:iCs/>
          <w:lang w:val="en-GB"/>
        </w:rPr>
      </w:pPr>
      <w:r w:rsidRPr="00FD3BF3">
        <w:rPr>
          <w:rFonts w:cstheme="minorHAnsi"/>
          <w:i/>
          <w:iCs/>
          <w:lang w:val="en-GB"/>
        </w:rPr>
        <w:t xml:space="preserve">(d) it shall not cause unnecessary suffering and pain to vertebrates to be </w:t>
      </w:r>
      <w:proofErr w:type="gramStart"/>
      <w:r w:rsidRPr="00FD3BF3">
        <w:rPr>
          <w:rFonts w:cstheme="minorHAnsi"/>
          <w:i/>
          <w:iCs/>
          <w:lang w:val="en-GB"/>
        </w:rPr>
        <w:t>controlled;</w:t>
      </w:r>
      <w:proofErr w:type="gramEnd"/>
    </w:p>
    <w:p w14:paraId="2B28E4EE" w14:textId="45D52065" w:rsidR="007004BB" w:rsidRPr="00FD3BF3" w:rsidRDefault="007B0978" w:rsidP="0026790C">
      <w:pPr>
        <w:spacing w:after="0"/>
        <w:jc w:val="both"/>
        <w:rPr>
          <w:rFonts w:cstheme="minorHAnsi"/>
          <w:i/>
          <w:iCs/>
          <w:lang w:val="en-GB"/>
        </w:rPr>
      </w:pPr>
      <w:r w:rsidRPr="00FD3BF3">
        <w:rPr>
          <w:rFonts w:cstheme="minorHAnsi"/>
          <w:i/>
          <w:iCs/>
          <w:lang w:val="en-GB"/>
        </w:rPr>
        <w:lastRenderedPageBreak/>
        <w:t xml:space="preserve"> </w:t>
      </w:r>
      <w:r w:rsidR="007004BB" w:rsidRPr="00FD3BF3">
        <w:rPr>
          <w:rFonts w:cstheme="minorHAnsi"/>
          <w:i/>
          <w:iCs/>
          <w:lang w:val="en-GB"/>
        </w:rPr>
        <w:t xml:space="preserve">(e) it shall have no unacceptable effects on the environment, having </w:t>
      </w:r>
      <w:proofErr w:type="gramStart"/>
      <w:r w:rsidR="007004BB" w:rsidRPr="00FD3BF3">
        <w:rPr>
          <w:rFonts w:cstheme="minorHAnsi"/>
          <w:i/>
          <w:iCs/>
          <w:lang w:val="en-GB"/>
        </w:rPr>
        <w:t>particular regard</w:t>
      </w:r>
      <w:proofErr w:type="gramEnd"/>
      <w:r w:rsidR="007004BB" w:rsidRPr="00FD3BF3">
        <w:rPr>
          <w:rFonts w:cstheme="minorHAnsi"/>
          <w:i/>
          <w:iCs/>
          <w:lang w:val="en-GB"/>
        </w:rPr>
        <w:t xml:space="preserve"> to the following considerations where the scientific methods accepted by the Authority to</w:t>
      </w:r>
    </w:p>
    <w:p w14:paraId="5AE33E13" w14:textId="77777777" w:rsidR="007004BB" w:rsidRPr="00FD3BF3" w:rsidRDefault="007004BB" w:rsidP="0026790C">
      <w:pPr>
        <w:spacing w:after="0"/>
        <w:jc w:val="both"/>
        <w:rPr>
          <w:rFonts w:cstheme="minorHAnsi"/>
          <w:i/>
          <w:iCs/>
          <w:lang w:val="en-GB"/>
        </w:rPr>
      </w:pPr>
      <w:r w:rsidRPr="00FD3BF3">
        <w:rPr>
          <w:rFonts w:cstheme="minorHAnsi"/>
          <w:i/>
          <w:iCs/>
          <w:lang w:val="en-GB"/>
        </w:rPr>
        <w:t>assess such effects are available:</w:t>
      </w:r>
    </w:p>
    <w:p w14:paraId="0C33C70A" w14:textId="1DDF3841" w:rsidR="007004BB" w:rsidRPr="00FD3BF3" w:rsidRDefault="007004BB" w:rsidP="0026790C">
      <w:pPr>
        <w:spacing w:after="0"/>
        <w:jc w:val="both"/>
        <w:rPr>
          <w:rFonts w:cstheme="minorHAnsi"/>
          <w:i/>
          <w:iCs/>
          <w:lang w:val="en-GB"/>
        </w:rPr>
      </w:pPr>
      <w:r w:rsidRPr="00FD3BF3">
        <w:rPr>
          <w:rFonts w:cstheme="minorHAnsi"/>
          <w:i/>
          <w:iCs/>
          <w:lang w:val="en-GB"/>
        </w:rPr>
        <w:t>(</w:t>
      </w:r>
      <w:proofErr w:type="spellStart"/>
      <w:r w:rsidRPr="00FD3BF3">
        <w:rPr>
          <w:rFonts w:cstheme="minorHAnsi"/>
          <w:i/>
          <w:iCs/>
          <w:lang w:val="en-GB"/>
        </w:rPr>
        <w:t>i</w:t>
      </w:r>
      <w:proofErr w:type="spellEnd"/>
      <w:r w:rsidRPr="00FD3BF3">
        <w:rPr>
          <w:rFonts w:cstheme="minorHAnsi"/>
          <w:i/>
          <w:iCs/>
          <w:lang w:val="en-GB"/>
        </w:rPr>
        <w:t xml:space="preserve">) its fate and distribution in the environment, particularly contamination of surface waters, including estuarine and coastal waters, groundwater, air and soil taking into account locations distant from its use following long-range environmental </w:t>
      </w:r>
      <w:proofErr w:type="gramStart"/>
      <w:r w:rsidRPr="00FD3BF3">
        <w:rPr>
          <w:rFonts w:cstheme="minorHAnsi"/>
          <w:i/>
          <w:iCs/>
          <w:lang w:val="en-GB"/>
        </w:rPr>
        <w:t>transportation;</w:t>
      </w:r>
      <w:proofErr w:type="gramEnd"/>
    </w:p>
    <w:p w14:paraId="52E7C3A3" w14:textId="52A905B8" w:rsidR="007004BB" w:rsidRPr="00FD3BF3" w:rsidRDefault="007004BB" w:rsidP="0026790C">
      <w:pPr>
        <w:spacing w:after="0"/>
        <w:jc w:val="both"/>
        <w:rPr>
          <w:rFonts w:cstheme="minorHAnsi"/>
          <w:i/>
          <w:iCs/>
          <w:lang w:val="en-GB"/>
        </w:rPr>
      </w:pPr>
      <w:r w:rsidRPr="00FD3BF3">
        <w:rPr>
          <w:rFonts w:cstheme="minorHAnsi"/>
          <w:i/>
          <w:iCs/>
          <w:lang w:val="en-GB"/>
        </w:rPr>
        <w:t xml:space="preserve">(ii) its impact on non-target species, including on the ongoing behaviour of those </w:t>
      </w:r>
      <w:proofErr w:type="gramStart"/>
      <w:r w:rsidRPr="00FD3BF3">
        <w:rPr>
          <w:rFonts w:cstheme="minorHAnsi"/>
          <w:i/>
          <w:iCs/>
          <w:lang w:val="en-GB"/>
        </w:rPr>
        <w:t>species;</w:t>
      </w:r>
      <w:proofErr w:type="gramEnd"/>
    </w:p>
    <w:p w14:paraId="7CE331CC" w14:textId="394D5716" w:rsidR="007B0978" w:rsidRPr="00FD3BF3" w:rsidRDefault="007004BB" w:rsidP="0026790C">
      <w:pPr>
        <w:spacing w:after="0"/>
        <w:jc w:val="both"/>
        <w:rPr>
          <w:rFonts w:cstheme="minorHAnsi"/>
          <w:i/>
          <w:iCs/>
          <w:lang w:val="en-GB"/>
        </w:rPr>
      </w:pPr>
      <w:r w:rsidRPr="00FD3BF3">
        <w:rPr>
          <w:rFonts w:cstheme="minorHAnsi"/>
          <w:i/>
          <w:iCs/>
          <w:lang w:val="en-GB"/>
        </w:rPr>
        <w:t>(iii) its impact on biodiversity and the ecosystem.</w:t>
      </w:r>
    </w:p>
    <w:p w14:paraId="51D36736" w14:textId="77777777" w:rsidR="007004BB" w:rsidRPr="00FD3BF3" w:rsidRDefault="007004BB" w:rsidP="0026790C">
      <w:pPr>
        <w:spacing w:after="0"/>
        <w:jc w:val="both"/>
        <w:rPr>
          <w:rFonts w:cstheme="minorHAnsi"/>
          <w:i/>
          <w:iCs/>
          <w:lang w:val="en-GB"/>
        </w:rPr>
      </w:pPr>
    </w:p>
    <w:p w14:paraId="2BCE5AEE" w14:textId="24942BB8" w:rsidR="006A3B95" w:rsidRPr="00FD3BF3" w:rsidRDefault="0047585B" w:rsidP="0026790C">
      <w:pPr>
        <w:spacing w:after="0"/>
        <w:jc w:val="both"/>
        <w:rPr>
          <w:rFonts w:cstheme="minorHAnsi"/>
        </w:rPr>
      </w:pPr>
      <w:r w:rsidRPr="00FD3BF3">
        <w:rPr>
          <w:rFonts w:cstheme="minorHAnsi"/>
        </w:rPr>
        <w:t>Uit de</w:t>
      </w:r>
      <w:r w:rsidR="00E958C1" w:rsidRPr="00FD3BF3">
        <w:rPr>
          <w:rFonts w:cstheme="minorHAnsi"/>
        </w:rPr>
        <w:t xml:space="preserve"> twee</w:t>
      </w:r>
      <w:r w:rsidRPr="00FD3BF3">
        <w:rPr>
          <w:rFonts w:cstheme="minorHAnsi"/>
        </w:rPr>
        <w:t xml:space="preserve"> conclusie</w:t>
      </w:r>
      <w:r w:rsidR="006E2616" w:rsidRPr="00FD3BF3">
        <w:rPr>
          <w:rFonts w:cstheme="minorHAnsi"/>
        </w:rPr>
        <w:t>s</w:t>
      </w:r>
      <w:r w:rsidRPr="00FD3BF3">
        <w:rPr>
          <w:rFonts w:cstheme="minorHAnsi"/>
        </w:rPr>
        <w:t xml:space="preserve"> van de Autoriteit EFSA </w:t>
      </w:r>
      <w:r w:rsidR="006E2616" w:rsidRPr="00FD3BF3">
        <w:rPr>
          <w:rFonts w:cstheme="minorHAnsi"/>
        </w:rPr>
        <w:t>blijkt</w:t>
      </w:r>
      <w:r w:rsidR="006E2616" w:rsidRPr="00FD3BF3">
        <w:rPr>
          <w:rStyle w:val="Funotenzeichen"/>
          <w:rFonts w:cstheme="minorHAnsi"/>
        </w:rPr>
        <w:footnoteReference w:id="4"/>
      </w:r>
      <w:r w:rsidR="006E2616" w:rsidRPr="00FD3BF3">
        <w:rPr>
          <w:rFonts w:cstheme="minorHAnsi"/>
        </w:rPr>
        <w:t>,</w:t>
      </w:r>
      <w:r w:rsidR="006E2616" w:rsidRPr="00FD3BF3">
        <w:rPr>
          <w:rStyle w:val="Funotenzeichen"/>
          <w:rFonts w:cstheme="minorHAnsi"/>
        </w:rPr>
        <w:footnoteReference w:id="5"/>
      </w:r>
      <w:r w:rsidR="006E2616" w:rsidRPr="00FD3BF3">
        <w:rPr>
          <w:rFonts w:cstheme="minorHAnsi"/>
        </w:rPr>
        <w:t xml:space="preserve">, zoals we al aangaven in ons intrekkingsverzoek aan u van 1 augustus 2024, dat EFSA </w:t>
      </w:r>
      <w:r w:rsidR="00E958C1" w:rsidRPr="00FD3BF3">
        <w:rPr>
          <w:rFonts w:cstheme="minorHAnsi"/>
        </w:rPr>
        <w:t>vaststelt</w:t>
      </w:r>
      <w:r w:rsidR="006E2616" w:rsidRPr="00FD3BF3">
        <w:rPr>
          <w:rFonts w:cstheme="minorHAnsi"/>
        </w:rPr>
        <w:t xml:space="preserve"> dat er diverse "</w:t>
      </w:r>
      <w:r w:rsidR="006E2616" w:rsidRPr="00FD3BF3">
        <w:rPr>
          <w:rFonts w:cstheme="minorHAnsi"/>
          <w:i/>
          <w:iCs/>
        </w:rPr>
        <w:t>kritiek</w:t>
      </w:r>
      <w:r w:rsidR="00E958C1" w:rsidRPr="00FD3BF3">
        <w:rPr>
          <w:rFonts w:cstheme="minorHAnsi"/>
          <w:i/>
          <w:iCs/>
        </w:rPr>
        <w:t>e</w:t>
      </w:r>
      <w:r w:rsidR="006E2616" w:rsidRPr="00FD3BF3">
        <w:rPr>
          <w:rFonts w:cstheme="minorHAnsi"/>
          <w:i/>
          <w:iCs/>
        </w:rPr>
        <w:t xml:space="preserve"> aandachtspunten</w:t>
      </w:r>
      <w:r w:rsidR="006E2616" w:rsidRPr="00FD3BF3">
        <w:rPr>
          <w:rFonts w:cstheme="minorHAnsi"/>
        </w:rPr>
        <w:t>"</w:t>
      </w:r>
      <w:r w:rsidR="00E958C1" w:rsidRPr="00FD3BF3">
        <w:rPr>
          <w:rFonts w:cstheme="minorHAnsi"/>
        </w:rPr>
        <w:t xml:space="preserve"> (“Critical </w:t>
      </w:r>
      <w:proofErr w:type="spellStart"/>
      <w:r w:rsidR="00E958C1" w:rsidRPr="00FD3BF3">
        <w:rPr>
          <w:rFonts w:cstheme="minorHAnsi"/>
        </w:rPr>
        <w:t>Area</w:t>
      </w:r>
      <w:r w:rsidR="0008444C" w:rsidRPr="00FD3BF3">
        <w:rPr>
          <w:rFonts w:cstheme="minorHAnsi"/>
        </w:rPr>
        <w:t>s</w:t>
      </w:r>
      <w:proofErr w:type="spellEnd"/>
      <w:r w:rsidR="00E958C1" w:rsidRPr="00FD3BF3">
        <w:rPr>
          <w:rFonts w:cstheme="minorHAnsi"/>
        </w:rPr>
        <w:t xml:space="preserve"> of Concern”) bestaan</w:t>
      </w:r>
      <w:r w:rsidR="006A3B95" w:rsidRPr="00FD3BF3">
        <w:rPr>
          <w:rFonts w:cstheme="minorHAnsi"/>
        </w:rPr>
        <w:t xml:space="preserve"> voor </w:t>
      </w:r>
      <w:r w:rsidR="005C24AE" w:rsidRPr="00FD3BF3">
        <w:rPr>
          <w:rFonts w:cstheme="minorHAnsi"/>
        </w:rPr>
        <w:t>bespuitingen met</w:t>
      </w:r>
      <w:r w:rsidR="006A3B95" w:rsidRPr="00FD3BF3">
        <w:rPr>
          <w:rFonts w:cstheme="minorHAnsi"/>
        </w:rPr>
        <w:t xml:space="preserve"> captan </w:t>
      </w:r>
      <w:r w:rsidR="0008444C" w:rsidRPr="00FD3BF3">
        <w:rPr>
          <w:rFonts w:cstheme="minorHAnsi"/>
        </w:rPr>
        <w:t>in</w:t>
      </w:r>
      <w:r w:rsidR="006A3B95" w:rsidRPr="00FD3BF3">
        <w:rPr>
          <w:rFonts w:cstheme="minorHAnsi"/>
        </w:rPr>
        <w:t xml:space="preserve"> het open veld</w:t>
      </w:r>
      <w:r w:rsidR="006E2616" w:rsidRPr="00FD3BF3">
        <w:rPr>
          <w:rFonts w:cstheme="minorHAnsi"/>
        </w:rPr>
        <w:t xml:space="preserve">, </w:t>
      </w:r>
      <w:r w:rsidR="0043674E" w:rsidRPr="00FD3BF3">
        <w:rPr>
          <w:rFonts w:cstheme="minorHAnsi"/>
        </w:rPr>
        <w:t>hetgeen</w:t>
      </w:r>
      <w:r w:rsidR="006E2616" w:rsidRPr="00FD3BF3">
        <w:rPr>
          <w:rFonts w:cstheme="minorHAnsi"/>
        </w:rPr>
        <w:t xml:space="preserve"> betekent dat er geen veilig</w:t>
      </w:r>
      <w:r w:rsidR="0008444C" w:rsidRPr="00FD3BF3">
        <w:rPr>
          <w:rFonts w:cstheme="minorHAnsi"/>
        </w:rPr>
        <w:t>e toepassing</w:t>
      </w:r>
      <w:r w:rsidR="006E2616" w:rsidRPr="00FD3BF3">
        <w:rPr>
          <w:rFonts w:cstheme="minorHAnsi"/>
        </w:rPr>
        <w:t xml:space="preserve"> voor het pesticide captan kan worden aangetoond.</w:t>
      </w:r>
      <w:r w:rsidR="006A3B95" w:rsidRPr="00FD3BF3">
        <w:rPr>
          <w:rFonts w:cstheme="minorHAnsi"/>
        </w:rPr>
        <w:t xml:space="preserve"> De ‘mitigerende’ methoden die de Commissie vervolgens heeft voorgesteld om het gebruik van captan in het open veld toch binnen veilige marges te krijgen, zijn door EFSA als onacceptabel en niet-toepasbaar beoordeeld: </w:t>
      </w:r>
    </w:p>
    <w:p w14:paraId="0398FAEE" w14:textId="77777777" w:rsidR="006A3B95" w:rsidRPr="00FD3BF3" w:rsidRDefault="006A3B95" w:rsidP="0026790C">
      <w:pPr>
        <w:spacing w:after="0"/>
        <w:jc w:val="both"/>
        <w:rPr>
          <w:rFonts w:cstheme="minorHAnsi"/>
        </w:rPr>
      </w:pPr>
    </w:p>
    <w:p w14:paraId="207234CB" w14:textId="0758E348" w:rsidR="006A3B95" w:rsidRPr="00FD3BF3" w:rsidRDefault="006A3B95" w:rsidP="0026790C">
      <w:pPr>
        <w:spacing w:after="0"/>
        <w:jc w:val="both"/>
        <w:rPr>
          <w:rFonts w:cstheme="minorHAnsi"/>
          <w:lang w:val="en-GB"/>
        </w:rPr>
      </w:pPr>
      <w:proofErr w:type="spellStart"/>
      <w:r w:rsidRPr="00FD3BF3">
        <w:rPr>
          <w:rFonts w:cstheme="minorHAnsi"/>
          <w:lang w:val="en-GB"/>
        </w:rPr>
        <w:t>Pagina</w:t>
      </w:r>
      <w:proofErr w:type="spellEnd"/>
      <w:r w:rsidRPr="00FD3BF3">
        <w:rPr>
          <w:rFonts w:cstheme="minorHAnsi"/>
          <w:lang w:val="en-GB"/>
        </w:rPr>
        <w:t xml:space="preserve"> 3</w:t>
      </w:r>
      <w:r w:rsidR="00E958C1" w:rsidRPr="00FD3BF3">
        <w:rPr>
          <w:rStyle w:val="Funotenzeichen"/>
          <w:rFonts w:cstheme="minorHAnsi"/>
          <w:lang w:val="en-GB"/>
        </w:rPr>
        <w:footnoteReference w:id="6"/>
      </w:r>
      <w:r w:rsidRPr="00FD3BF3">
        <w:rPr>
          <w:rFonts w:cstheme="minorHAnsi"/>
          <w:lang w:val="en-GB"/>
        </w:rPr>
        <w:t>: “</w:t>
      </w:r>
      <w:r w:rsidRPr="00FD3BF3">
        <w:rPr>
          <w:rFonts w:cstheme="minorHAnsi"/>
          <w:i/>
          <w:iCs/>
          <w:lang w:val="en-GB"/>
        </w:rPr>
        <w:t>However, the study's applicability to different orchards cannot be considered acceptable due to varied conditions. In addition, the proposed additional ground loss reduction of 20% used to refine the long-term risk to mammals is not considered applicable as not scientifically substantiated. As regards non-target organisms, it is considered that a low risk to wild mammals, to bees and to aquatic organisms is not demonstrated by the available risk assessments</w:t>
      </w:r>
      <w:r w:rsidRPr="00FD3BF3">
        <w:rPr>
          <w:rFonts w:cstheme="minorHAnsi"/>
          <w:lang w:val="en-GB"/>
        </w:rPr>
        <w:t>”.</w:t>
      </w:r>
    </w:p>
    <w:p w14:paraId="0F90DEA3" w14:textId="2C94B812" w:rsidR="006A3B95" w:rsidRPr="00FD3BF3" w:rsidRDefault="006A3B95" w:rsidP="0026790C">
      <w:pPr>
        <w:spacing w:after="0"/>
        <w:jc w:val="both"/>
        <w:rPr>
          <w:rFonts w:cstheme="minorHAnsi"/>
        </w:rPr>
      </w:pPr>
      <w:r w:rsidRPr="00FD3BF3">
        <w:rPr>
          <w:rFonts w:cstheme="minorHAnsi"/>
        </w:rPr>
        <w:t xml:space="preserve">Een enkele studie kan onmogelijk goede data opleveren voor alle verschillende condities in boomgaarden, </w:t>
      </w:r>
      <w:r w:rsidR="00E958C1" w:rsidRPr="00FD3BF3">
        <w:rPr>
          <w:rFonts w:cstheme="minorHAnsi"/>
        </w:rPr>
        <w:t xml:space="preserve">aldus EFSA, en </w:t>
      </w:r>
      <w:r w:rsidRPr="00FD3BF3">
        <w:rPr>
          <w:rFonts w:cstheme="minorHAnsi"/>
        </w:rPr>
        <w:t>de 20% reductie is niet wetenschappelijk onderbouwd</w:t>
      </w:r>
      <w:r w:rsidR="00E958C1" w:rsidRPr="00FD3BF3">
        <w:rPr>
          <w:rFonts w:cstheme="minorHAnsi"/>
        </w:rPr>
        <w:t>. En EFSA stelt vast dat v</w:t>
      </w:r>
      <w:r w:rsidRPr="00FD3BF3">
        <w:rPr>
          <w:rFonts w:cstheme="minorHAnsi"/>
        </w:rPr>
        <w:t xml:space="preserve">oor niet-doelwit organismen een veilig gebruik niet </w:t>
      </w:r>
      <w:r w:rsidR="0043674E" w:rsidRPr="00FD3BF3">
        <w:rPr>
          <w:rFonts w:cstheme="minorHAnsi"/>
        </w:rPr>
        <w:t xml:space="preserve">is </w:t>
      </w:r>
      <w:r w:rsidRPr="00FD3BF3">
        <w:rPr>
          <w:rFonts w:cstheme="minorHAnsi"/>
        </w:rPr>
        <w:t xml:space="preserve">aangetoond. </w:t>
      </w:r>
    </w:p>
    <w:p w14:paraId="1BEF1633" w14:textId="77777777" w:rsidR="00E47D7F" w:rsidRPr="00FD3BF3" w:rsidRDefault="00E47D7F" w:rsidP="0026790C">
      <w:pPr>
        <w:spacing w:after="0"/>
        <w:jc w:val="both"/>
        <w:rPr>
          <w:rFonts w:cstheme="minorHAnsi"/>
        </w:rPr>
      </w:pPr>
    </w:p>
    <w:p w14:paraId="6C6C4A36" w14:textId="1E0920C8" w:rsidR="00E958C1" w:rsidRPr="00FD3BF3" w:rsidRDefault="00E958C1" w:rsidP="0026790C">
      <w:pPr>
        <w:spacing w:after="0"/>
        <w:jc w:val="both"/>
        <w:rPr>
          <w:rFonts w:cstheme="minorHAnsi"/>
        </w:rPr>
      </w:pPr>
      <w:r w:rsidRPr="00FD3BF3">
        <w:rPr>
          <w:rFonts w:cstheme="minorHAnsi"/>
        </w:rPr>
        <w:t xml:space="preserve">EFSA is het referentiepunt voor </w:t>
      </w:r>
      <w:r w:rsidR="00E47D7F" w:rsidRPr="00FD3BF3">
        <w:rPr>
          <w:rFonts w:cstheme="minorHAnsi"/>
        </w:rPr>
        <w:t>wetenschappelijke opinies en zijn opinies vormen de basis voor de besluitvorming van de Commissie</w:t>
      </w:r>
      <w:r w:rsidR="0043674E" w:rsidRPr="00FD3BF3">
        <w:rPr>
          <w:rFonts w:cstheme="minorHAnsi"/>
        </w:rPr>
        <w:t xml:space="preserve"> (Verordening 178/2002)</w:t>
      </w:r>
      <w:r w:rsidR="00E47D7F" w:rsidRPr="00FD3BF3">
        <w:rPr>
          <w:rFonts w:cstheme="minorHAnsi"/>
        </w:rPr>
        <w:t>:</w:t>
      </w:r>
    </w:p>
    <w:p w14:paraId="274E7C88" w14:textId="3BA2F001" w:rsidR="00E958C1" w:rsidRPr="00FD3BF3" w:rsidRDefault="00E958C1" w:rsidP="0026790C">
      <w:pPr>
        <w:spacing w:after="0"/>
        <w:jc w:val="both"/>
        <w:rPr>
          <w:rFonts w:cstheme="minorHAnsi"/>
          <w:lang w:val="en-GB"/>
        </w:rPr>
      </w:pPr>
      <w:r w:rsidRPr="00FD3BF3">
        <w:rPr>
          <w:rFonts w:cstheme="minorHAnsi"/>
          <w:lang w:val="en-GB"/>
        </w:rPr>
        <w:t>Art. 22.6</w:t>
      </w:r>
      <w:r w:rsidRPr="00FD3BF3">
        <w:rPr>
          <w:rStyle w:val="Funotenzeichen"/>
          <w:rFonts w:cstheme="minorHAnsi"/>
          <w:lang w:val="en-GB"/>
        </w:rPr>
        <w:footnoteReference w:id="7"/>
      </w:r>
      <w:r w:rsidRPr="00FD3BF3">
        <w:rPr>
          <w:rFonts w:cstheme="minorHAnsi"/>
          <w:lang w:val="en-GB"/>
        </w:rPr>
        <w:t>: “</w:t>
      </w:r>
      <w:r w:rsidRPr="00FD3BF3">
        <w:rPr>
          <w:rFonts w:cstheme="minorHAnsi"/>
          <w:i/>
          <w:iCs/>
          <w:lang w:val="en-GB"/>
        </w:rPr>
        <w:t>The Authority shall provide scientific opinions which will serve as the scientific basis for the drafting and adoption of Community measures in the fields falling within its mission</w:t>
      </w:r>
      <w:r w:rsidRPr="00FD3BF3">
        <w:rPr>
          <w:rFonts w:cstheme="minorHAnsi"/>
          <w:lang w:val="en-GB"/>
        </w:rPr>
        <w:t>”.</w:t>
      </w:r>
    </w:p>
    <w:p w14:paraId="0B36C934" w14:textId="7A68B4DC" w:rsidR="00E958C1" w:rsidRPr="00FD3BF3" w:rsidRDefault="00E958C1" w:rsidP="0026790C">
      <w:pPr>
        <w:spacing w:after="0"/>
        <w:jc w:val="both"/>
        <w:rPr>
          <w:rFonts w:cstheme="minorHAnsi"/>
          <w:lang w:val="en-GB"/>
        </w:rPr>
      </w:pPr>
      <w:proofErr w:type="spellStart"/>
      <w:r w:rsidRPr="00FD3BF3">
        <w:rPr>
          <w:rFonts w:cstheme="minorHAnsi"/>
          <w:lang w:val="en-GB"/>
        </w:rPr>
        <w:t>en</w:t>
      </w:r>
      <w:proofErr w:type="spellEnd"/>
      <w:r w:rsidRPr="00FD3BF3">
        <w:rPr>
          <w:rFonts w:cstheme="minorHAnsi"/>
          <w:lang w:val="en-GB"/>
        </w:rPr>
        <w:t>,</w:t>
      </w:r>
    </w:p>
    <w:p w14:paraId="3C5374D5" w14:textId="60665C0F" w:rsidR="00E958C1" w:rsidRPr="00FD3BF3" w:rsidRDefault="00E958C1" w:rsidP="0026790C">
      <w:pPr>
        <w:spacing w:after="0"/>
        <w:jc w:val="both"/>
        <w:rPr>
          <w:rFonts w:cstheme="minorHAnsi"/>
          <w:lang w:val="en-GB"/>
        </w:rPr>
      </w:pPr>
      <w:r w:rsidRPr="00FD3BF3">
        <w:rPr>
          <w:rFonts w:cstheme="minorHAnsi"/>
          <w:lang w:val="en-GB"/>
        </w:rPr>
        <w:t>Art. 22.7: “</w:t>
      </w:r>
      <w:r w:rsidRPr="00FD3BF3">
        <w:rPr>
          <w:rFonts w:cstheme="minorHAnsi"/>
          <w:i/>
          <w:iCs/>
          <w:lang w:val="en-GB"/>
        </w:rPr>
        <w:t>The Authority shall carry out its tasks in conditions which enable it to serve as a point of reference by virtue of its independence, the scientific and technical quality of the opinions it issues and the information it disseminates, the transparency of its procedures and methods of operation, and its diligence in performing the tasks assigned to it</w:t>
      </w:r>
      <w:r w:rsidRPr="00FD3BF3">
        <w:rPr>
          <w:rFonts w:cstheme="minorHAnsi"/>
          <w:lang w:val="en-GB"/>
        </w:rPr>
        <w:t>.”</w:t>
      </w:r>
    </w:p>
    <w:p w14:paraId="5F9A8B75" w14:textId="77777777" w:rsidR="009876B0" w:rsidRPr="00FD3BF3" w:rsidRDefault="009876B0" w:rsidP="0026790C">
      <w:pPr>
        <w:spacing w:after="0"/>
        <w:jc w:val="both"/>
        <w:rPr>
          <w:rFonts w:cstheme="minorHAnsi"/>
          <w:lang w:val="en-GB"/>
        </w:rPr>
      </w:pPr>
    </w:p>
    <w:p w14:paraId="55B6FDDD" w14:textId="107532FE" w:rsidR="009876B0" w:rsidRPr="00FD3BF3" w:rsidRDefault="009876B0" w:rsidP="0026790C">
      <w:pPr>
        <w:spacing w:after="0"/>
        <w:jc w:val="both"/>
        <w:rPr>
          <w:rFonts w:cstheme="minorHAnsi"/>
          <w:lang w:val="en-GB"/>
        </w:rPr>
      </w:pPr>
      <w:r w:rsidRPr="00FD3BF3">
        <w:rPr>
          <w:rFonts w:cstheme="minorHAnsi"/>
        </w:rPr>
        <w:t xml:space="preserve">Ook het EU Hof is er duidelijk over dat </w:t>
      </w:r>
      <w:r w:rsidR="00084CA7" w:rsidRPr="00FD3BF3">
        <w:rPr>
          <w:rFonts w:cstheme="minorHAnsi"/>
        </w:rPr>
        <w:t xml:space="preserve">de </w:t>
      </w:r>
      <w:r w:rsidR="00FD3BF3" w:rsidRPr="00FD3BF3">
        <w:rPr>
          <w:rFonts w:cstheme="minorHAnsi"/>
        </w:rPr>
        <w:t>Commissie</w:t>
      </w:r>
      <w:r w:rsidRPr="00FD3BF3">
        <w:rPr>
          <w:rFonts w:cstheme="minorHAnsi"/>
        </w:rPr>
        <w:t xml:space="preserve"> een oordeel van EFSA niet kan negeren</w:t>
      </w:r>
      <w:r w:rsidRPr="00FD3BF3">
        <w:rPr>
          <w:rStyle w:val="Funotenzeichen"/>
          <w:rFonts w:cstheme="minorHAnsi"/>
        </w:rPr>
        <w:footnoteReference w:id="8"/>
      </w:r>
      <w:r w:rsidRPr="00FD3BF3">
        <w:rPr>
          <w:rFonts w:cstheme="minorHAnsi"/>
        </w:rPr>
        <w:t>: “</w:t>
      </w:r>
      <w:proofErr w:type="spellStart"/>
      <w:r w:rsidRPr="00FD3BF3">
        <w:rPr>
          <w:rFonts w:cstheme="minorHAnsi"/>
          <w:i/>
          <w:iCs/>
        </w:rPr>
        <w:t>the</w:t>
      </w:r>
      <w:proofErr w:type="spellEnd"/>
      <w:r w:rsidRPr="00FD3BF3">
        <w:rPr>
          <w:rFonts w:cstheme="minorHAnsi"/>
          <w:i/>
          <w:iCs/>
        </w:rPr>
        <w:t xml:space="preserve"> </w:t>
      </w:r>
      <w:proofErr w:type="spellStart"/>
      <w:r w:rsidRPr="00FD3BF3">
        <w:rPr>
          <w:rFonts w:cstheme="minorHAnsi"/>
          <w:i/>
          <w:iCs/>
        </w:rPr>
        <w:t>Commission</w:t>
      </w:r>
      <w:proofErr w:type="spellEnd"/>
      <w:r w:rsidRPr="00FD3BF3">
        <w:rPr>
          <w:rFonts w:cstheme="minorHAnsi"/>
          <w:i/>
          <w:iCs/>
        </w:rPr>
        <w:t xml:space="preserve"> </w:t>
      </w:r>
      <w:proofErr w:type="spellStart"/>
      <w:r w:rsidRPr="00FD3BF3">
        <w:rPr>
          <w:rFonts w:cstheme="minorHAnsi"/>
          <w:i/>
          <w:iCs/>
        </w:rPr>
        <w:t>cannot</w:t>
      </w:r>
      <w:proofErr w:type="spellEnd"/>
      <w:r w:rsidRPr="00FD3BF3">
        <w:rPr>
          <w:rFonts w:cstheme="minorHAnsi"/>
          <w:i/>
          <w:iCs/>
        </w:rPr>
        <w:t xml:space="preserve"> </w:t>
      </w:r>
      <w:proofErr w:type="spellStart"/>
      <w:r w:rsidRPr="00FD3BF3">
        <w:rPr>
          <w:rFonts w:cstheme="minorHAnsi"/>
          <w:i/>
          <w:iCs/>
        </w:rPr>
        <w:t>ignore</w:t>
      </w:r>
      <w:proofErr w:type="spellEnd"/>
      <w:r w:rsidRPr="00FD3BF3">
        <w:rPr>
          <w:rFonts w:cstheme="minorHAnsi"/>
          <w:i/>
          <w:iCs/>
        </w:rPr>
        <w:t xml:space="preserve"> or </w:t>
      </w:r>
      <w:proofErr w:type="spellStart"/>
      <w:r w:rsidRPr="00FD3BF3">
        <w:rPr>
          <w:rFonts w:cstheme="minorHAnsi"/>
          <w:i/>
          <w:iCs/>
        </w:rPr>
        <w:t>disregard</w:t>
      </w:r>
      <w:proofErr w:type="spellEnd"/>
      <w:r w:rsidRPr="00FD3BF3">
        <w:rPr>
          <w:rFonts w:cstheme="minorHAnsi"/>
          <w:i/>
          <w:iCs/>
        </w:rPr>
        <w:t xml:space="preserve"> </w:t>
      </w:r>
      <w:proofErr w:type="spellStart"/>
      <w:r w:rsidRPr="00FD3BF3">
        <w:rPr>
          <w:rFonts w:cstheme="minorHAnsi"/>
          <w:i/>
          <w:iCs/>
        </w:rPr>
        <w:t>the</w:t>
      </w:r>
      <w:proofErr w:type="spellEnd"/>
      <w:r w:rsidRPr="00FD3BF3">
        <w:rPr>
          <w:rFonts w:cstheme="minorHAnsi"/>
          <w:i/>
          <w:iCs/>
        </w:rPr>
        <w:t xml:space="preserve"> </w:t>
      </w:r>
      <w:proofErr w:type="gramStart"/>
      <w:r w:rsidRPr="00FD3BF3">
        <w:rPr>
          <w:rFonts w:cstheme="minorHAnsi"/>
          <w:i/>
          <w:iCs/>
        </w:rPr>
        <w:t>EFSA assessment</w:t>
      </w:r>
      <w:proofErr w:type="gramEnd"/>
      <w:r w:rsidRPr="00FD3BF3">
        <w:rPr>
          <w:rFonts w:cstheme="minorHAnsi"/>
          <w:i/>
          <w:iCs/>
        </w:rPr>
        <w:t xml:space="preserve">. </w:t>
      </w:r>
      <w:r w:rsidRPr="00FD3BF3">
        <w:rPr>
          <w:rFonts w:cstheme="minorHAnsi"/>
          <w:i/>
          <w:iCs/>
          <w:lang w:val="en-GB"/>
        </w:rPr>
        <w:t>Indeed, as the Commission argues, such a possibility would compromise the construction of the system, given that the risk management decision is based on the result of the risk assessment</w:t>
      </w:r>
      <w:r w:rsidRPr="00FD3BF3">
        <w:rPr>
          <w:rFonts w:cstheme="minorHAnsi"/>
          <w:lang w:val="en-GB"/>
        </w:rPr>
        <w:t xml:space="preserve">”. </w:t>
      </w:r>
    </w:p>
    <w:p w14:paraId="561D6C01" w14:textId="77777777" w:rsidR="00E47D7F" w:rsidRPr="00FD3BF3" w:rsidRDefault="00E47D7F" w:rsidP="0026790C">
      <w:pPr>
        <w:spacing w:after="0"/>
        <w:jc w:val="both"/>
        <w:rPr>
          <w:rFonts w:cstheme="minorHAnsi"/>
          <w:lang w:val="en-GB"/>
        </w:rPr>
      </w:pPr>
    </w:p>
    <w:p w14:paraId="47138385" w14:textId="092AF9D2" w:rsidR="00E47D7F" w:rsidRPr="00FD3BF3" w:rsidRDefault="00E47D7F" w:rsidP="0026790C">
      <w:pPr>
        <w:spacing w:after="0"/>
        <w:jc w:val="both"/>
        <w:rPr>
          <w:rFonts w:cstheme="minorHAnsi"/>
        </w:rPr>
      </w:pPr>
      <w:r w:rsidRPr="00FD3BF3">
        <w:rPr>
          <w:rFonts w:cstheme="minorHAnsi"/>
        </w:rPr>
        <w:t>Het Ctgb dient zich</w:t>
      </w:r>
      <w:r w:rsidR="00AB2F98" w:rsidRPr="00FD3BF3">
        <w:rPr>
          <w:rFonts w:cstheme="minorHAnsi"/>
        </w:rPr>
        <w:t xml:space="preserve"> in dit geval </w:t>
      </w:r>
      <w:r w:rsidRPr="00FD3BF3">
        <w:rPr>
          <w:rFonts w:cstheme="minorHAnsi"/>
        </w:rPr>
        <w:t xml:space="preserve"> te conformeren aan de opinies van EFSA in haar besluitvorming. </w:t>
      </w:r>
      <w:r w:rsidR="00AB2F98" w:rsidRPr="00FD3BF3">
        <w:rPr>
          <w:rFonts w:cstheme="minorHAnsi"/>
        </w:rPr>
        <w:t xml:space="preserve">Er is geen enkele reden om te oordelen, dat de conclusies van EFSA over captan onjuist zouden zijn. </w:t>
      </w:r>
    </w:p>
    <w:p w14:paraId="33AEDFED" w14:textId="77777777" w:rsidR="00EC43F6" w:rsidRPr="00FD3BF3" w:rsidRDefault="00EC43F6" w:rsidP="0026790C">
      <w:pPr>
        <w:spacing w:after="0"/>
        <w:jc w:val="both"/>
        <w:rPr>
          <w:rFonts w:cstheme="minorHAnsi"/>
        </w:rPr>
      </w:pPr>
    </w:p>
    <w:p w14:paraId="387B14A1" w14:textId="1B0DDC07" w:rsidR="00EC43F6" w:rsidRPr="00FD3BF3" w:rsidRDefault="00EC43F6" w:rsidP="0026790C">
      <w:pPr>
        <w:pStyle w:val="Listenabsatz"/>
        <w:numPr>
          <w:ilvl w:val="0"/>
          <w:numId w:val="3"/>
        </w:numPr>
        <w:spacing w:after="0"/>
        <w:jc w:val="both"/>
        <w:rPr>
          <w:rFonts w:cstheme="minorHAnsi"/>
          <w:u w:val="single"/>
        </w:rPr>
      </w:pPr>
      <w:r w:rsidRPr="00FD3BF3">
        <w:rPr>
          <w:rFonts w:cstheme="minorHAnsi"/>
          <w:u w:val="single"/>
        </w:rPr>
        <w:lastRenderedPageBreak/>
        <w:t xml:space="preserve">Uitstel van de herbeoordeling tot na de zonale beoordeling </w:t>
      </w:r>
      <w:r w:rsidR="00B804A3" w:rsidRPr="00FD3BF3">
        <w:rPr>
          <w:rFonts w:cstheme="minorHAnsi"/>
          <w:u w:val="single"/>
        </w:rPr>
        <w:t xml:space="preserve">is </w:t>
      </w:r>
      <w:r w:rsidRPr="00FD3BF3">
        <w:rPr>
          <w:rFonts w:cstheme="minorHAnsi"/>
          <w:u w:val="single"/>
        </w:rPr>
        <w:t>onterecht.</w:t>
      </w:r>
    </w:p>
    <w:p w14:paraId="5062DD1A" w14:textId="77777777" w:rsidR="00EC43F6" w:rsidRPr="00FD3BF3" w:rsidRDefault="00EC43F6" w:rsidP="0026790C">
      <w:pPr>
        <w:spacing w:after="0"/>
        <w:jc w:val="both"/>
        <w:rPr>
          <w:rFonts w:cstheme="minorHAnsi"/>
        </w:rPr>
      </w:pPr>
    </w:p>
    <w:p w14:paraId="3E41505D" w14:textId="1E12FBB2" w:rsidR="00970E98" w:rsidRPr="00FD3BF3" w:rsidRDefault="00EC43F6" w:rsidP="0026790C">
      <w:pPr>
        <w:spacing w:after="0"/>
        <w:jc w:val="both"/>
        <w:rPr>
          <w:rFonts w:cstheme="minorHAnsi"/>
        </w:rPr>
      </w:pPr>
      <w:r w:rsidRPr="00FD3BF3">
        <w:rPr>
          <w:rFonts w:cstheme="minorHAnsi"/>
        </w:rPr>
        <w:t>Art.44 is er duidelijk over dat een lidstaat een verplichting heeft tot intrekking/wijziging (“</w:t>
      </w:r>
      <w:proofErr w:type="spellStart"/>
      <w:r w:rsidRPr="00FD3BF3">
        <w:rPr>
          <w:rFonts w:cstheme="minorHAnsi"/>
          <w:i/>
          <w:iCs/>
        </w:rPr>
        <w:t>shall</w:t>
      </w:r>
      <w:proofErr w:type="spellEnd"/>
      <w:r w:rsidR="00A42AA8" w:rsidRPr="00FD3BF3">
        <w:rPr>
          <w:rFonts w:cstheme="minorHAnsi"/>
        </w:rPr>
        <w:t>”) zodra</w:t>
      </w:r>
      <w:r w:rsidRPr="00FD3BF3">
        <w:rPr>
          <w:rFonts w:cstheme="minorHAnsi"/>
        </w:rPr>
        <w:t xml:space="preserve"> blijkt dat aan de voorwaarden van Art.29 niet meer wordt voldaan. Dat er niet (meer) aan de voorwaarden wordt voldaan blijkt uit de </w:t>
      </w:r>
      <w:proofErr w:type="gramStart"/>
      <w:r w:rsidRPr="00FD3BF3">
        <w:rPr>
          <w:rFonts w:cstheme="minorHAnsi"/>
        </w:rPr>
        <w:t>EFSA conclusies</w:t>
      </w:r>
      <w:proofErr w:type="gramEnd"/>
      <w:r w:rsidRPr="00FD3BF3">
        <w:rPr>
          <w:rFonts w:cstheme="minorHAnsi"/>
        </w:rPr>
        <w:t xml:space="preserve"> van 20 september 2020</w:t>
      </w:r>
      <w:r w:rsidRPr="00FD3BF3">
        <w:rPr>
          <w:rStyle w:val="Funotenzeichen"/>
          <w:rFonts w:cstheme="minorHAnsi"/>
        </w:rPr>
        <w:footnoteReference w:id="9"/>
      </w:r>
      <w:r w:rsidRPr="00FD3BF3">
        <w:rPr>
          <w:rFonts w:cstheme="minorHAnsi"/>
        </w:rPr>
        <w:t xml:space="preserve"> waarna op 16 februari 2024 door EFSA </w:t>
      </w:r>
      <w:r w:rsidR="00E47D7F" w:rsidRPr="00FD3BF3">
        <w:rPr>
          <w:rFonts w:cstheme="minorHAnsi"/>
        </w:rPr>
        <w:t xml:space="preserve">(opnieuw) </w:t>
      </w:r>
      <w:r w:rsidRPr="00FD3BF3">
        <w:rPr>
          <w:rFonts w:cstheme="minorHAnsi"/>
        </w:rPr>
        <w:t>is geconcludeerd dat ook de ‘mitigerende’ maatregelen niets aan de conclusie verandert dat er geen veilig gebruik is in open veld</w:t>
      </w:r>
      <w:r w:rsidRPr="00FD3BF3">
        <w:rPr>
          <w:rStyle w:val="Funotenzeichen"/>
          <w:rFonts w:cstheme="minorHAnsi"/>
        </w:rPr>
        <w:footnoteReference w:id="10"/>
      </w:r>
      <w:r w:rsidRPr="00FD3BF3">
        <w:rPr>
          <w:rFonts w:cstheme="minorHAnsi"/>
        </w:rPr>
        <w:t xml:space="preserve">. Het is dus sinds 2020, maar ook na februari 2024 volstrekt duidelijk geworden dat niet aan de voorwaarden van Art. 29 wordt voldaan voor de toelatingen van captan in open veld. Er is dus geen ruimte voor het Ctgb om verdere beoordelingen uit te stellen, ze moet het nu doen </w:t>
      </w:r>
      <w:proofErr w:type="gramStart"/>
      <w:r w:rsidRPr="00FD3BF3">
        <w:rPr>
          <w:rFonts w:cstheme="minorHAnsi"/>
        </w:rPr>
        <w:t>( “</w:t>
      </w:r>
      <w:proofErr w:type="spellStart"/>
      <w:proofErr w:type="gramEnd"/>
      <w:r w:rsidRPr="00FD3BF3">
        <w:rPr>
          <w:rFonts w:cstheme="minorHAnsi"/>
        </w:rPr>
        <w:t>shall</w:t>
      </w:r>
      <w:proofErr w:type="spellEnd"/>
      <w:r w:rsidRPr="00FD3BF3">
        <w:rPr>
          <w:rFonts w:cstheme="minorHAnsi"/>
        </w:rPr>
        <w:t xml:space="preserve">”). </w:t>
      </w:r>
    </w:p>
    <w:p w14:paraId="18879576" w14:textId="77777777" w:rsidR="00D30DE3" w:rsidRPr="00FD3BF3" w:rsidRDefault="00D30DE3" w:rsidP="0026790C">
      <w:pPr>
        <w:spacing w:after="0"/>
        <w:jc w:val="both"/>
        <w:rPr>
          <w:rFonts w:cstheme="minorHAnsi"/>
        </w:rPr>
      </w:pPr>
    </w:p>
    <w:p w14:paraId="7D1664CB" w14:textId="10FB0601" w:rsidR="00D30DE3" w:rsidRPr="00FD3BF3" w:rsidRDefault="00D30DE3" w:rsidP="0026790C">
      <w:pPr>
        <w:pStyle w:val="Listenabsatz"/>
        <w:numPr>
          <w:ilvl w:val="0"/>
          <w:numId w:val="3"/>
        </w:numPr>
        <w:spacing w:after="0"/>
        <w:jc w:val="both"/>
        <w:rPr>
          <w:rFonts w:cstheme="minorHAnsi"/>
          <w:u w:val="single"/>
        </w:rPr>
      </w:pPr>
      <w:r w:rsidRPr="00FD3BF3">
        <w:rPr>
          <w:rFonts w:cstheme="minorHAnsi"/>
          <w:u w:val="single"/>
        </w:rPr>
        <w:t>Wachten op ‘</w:t>
      </w:r>
      <w:proofErr w:type="spellStart"/>
      <w:r w:rsidRPr="00FD3BF3">
        <w:rPr>
          <w:rFonts w:cstheme="minorHAnsi"/>
          <w:u w:val="single"/>
        </w:rPr>
        <w:t>confirmatory</w:t>
      </w:r>
      <w:proofErr w:type="spellEnd"/>
      <w:r w:rsidRPr="00FD3BF3">
        <w:rPr>
          <w:rFonts w:cstheme="minorHAnsi"/>
          <w:u w:val="single"/>
        </w:rPr>
        <w:t xml:space="preserve"> data’ in strijd met de Verordening. </w:t>
      </w:r>
    </w:p>
    <w:p w14:paraId="379B51D8" w14:textId="77777777" w:rsidR="00C94110" w:rsidRPr="00FD3BF3" w:rsidRDefault="00C94110" w:rsidP="0026790C">
      <w:pPr>
        <w:spacing w:after="0"/>
        <w:jc w:val="both"/>
        <w:rPr>
          <w:rFonts w:cstheme="minorHAnsi"/>
          <w:u w:val="single"/>
        </w:rPr>
      </w:pPr>
    </w:p>
    <w:p w14:paraId="381AD82F" w14:textId="07E42422" w:rsidR="0043674E" w:rsidRPr="00FD3BF3" w:rsidRDefault="00C94110" w:rsidP="0026790C">
      <w:pPr>
        <w:spacing w:after="0"/>
        <w:jc w:val="both"/>
        <w:rPr>
          <w:rFonts w:cstheme="minorHAnsi"/>
        </w:rPr>
      </w:pPr>
      <w:r w:rsidRPr="00FD3BF3">
        <w:rPr>
          <w:rFonts w:cstheme="minorHAnsi"/>
        </w:rPr>
        <w:t xml:space="preserve">Het Ctgb neemt aan dat de metabolieten (toxisch) niet relevant zijn. Dit is een ongefundeerde aanname. En dat blijkt ook, want het Ctgb wil de aanvrager tijd geven om aan te tonen dat de twee metabolieten niet relevant zijn. </w:t>
      </w:r>
      <w:r w:rsidR="004A41D7" w:rsidRPr="00FD3BF3">
        <w:rPr>
          <w:rFonts w:cstheme="minorHAnsi"/>
        </w:rPr>
        <w:t xml:space="preserve">Dat staat op dit moment dus niet vast.  Het voorzorgsbeginsel, dat deel uitmaakt van de Verordening, dwingt dan tot het weigeren van toelating (of verlenging daarvan). </w:t>
      </w:r>
    </w:p>
    <w:p w14:paraId="232F9303" w14:textId="77777777" w:rsidR="00084CA7" w:rsidRPr="00FD3BF3" w:rsidRDefault="00084CA7" w:rsidP="0026790C">
      <w:pPr>
        <w:spacing w:after="0"/>
        <w:jc w:val="both"/>
        <w:rPr>
          <w:rFonts w:cstheme="minorHAnsi"/>
        </w:rPr>
      </w:pPr>
    </w:p>
    <w:p w14:paraId="60F7D4A0" w14:textId="5A260F9D" w:rsidR="00C94110" w:rsidRPr="00FD3BF3" w:rsidRDefault="00C94110" w:rsidP="0026790C">
      <w:pPr>
        <w:spacing w:after="0"/>
        <w:jc w:val="both"/>
        <w:rPr>
          <w:rFonts w:cstheme="minorHAnsi"/>
          <w:lang w:val="en-GB"/>
        </w:rPr>
      </w:pPr>
      <w:r w:rsidRPr="00FD3BF3">
        <w:rPr>
          <w:rFonts w:cstheme="minorHAnsi"/>
          <w:lang w:val="en-GB"/>
        </w:rPr>
        <w:t xml:space="preserve">Art. 6.f van de </w:t>
      </w:r>
      <w:proofErr w:type="spellStart"/>
      <w:r w:rsidRPr="00FD3BF3">
        <w:rPr>
          <w:rFonts w:cstheme="minorHAnsi"/>
          <w:lang w:val="en-GB"/>
        </w:rPr>
        <w:t>Verordening</w:t>
      </w:r>
      <w:proofErr w:type="spellEnd"/>
      <w:r w:rsidRPr="00FD3BF3">
        <w:rPr>
          <w:rFonts w:cstheme="minorHAnsi"/>
          <w:lang w:val="en-GB"/>
        </w:rPr>
        <w:t xml:space="preserve"> </w:t>
      </w:r>
      <w:proofErr w:type="spellStart"/>
      <w:proofErr w:type="gramStart"/>
      <w:r w:rsidRPr="00FD3BF3">
        <w:rPr>
          <w:rFonts w:cstheme="minorHAnsi"/>
          <w:lang w:val="en-GB"/>
        </w:rPr>
        <w:t>zegt</w:t>
      </w:r>
      <w:proofErr w:type="spellEnd"/>
      <w:r w:rsidRPr="00FD3BF3">
        <w:rPr>
          <w:rFonts w:cstheme="minorHAnsi"/>
          <w:lang w:val="en-GB"/>
        </w:rPr>
        <w:t xml:space="preserve">  </w:t>
      </w:r>
      <w:proofErr w:type="spellStart"/>
      <w:r w:rsidRPr="00FD3BF3">
        <w:rPr>
          <w:rFonts w:cstheme="minorHAnsi"/>
          <w:lang w:val="en-GB"/>
        </w:rPr>
        <w:t>dat</w:t>
      </w:r>
      <w:proofErr w:type="spellEnd"/>
      <w:proofErr w:type="gramEnd"/>
      <w:r w:rsidRPr="00FD3BF3">
        <w:rPr>
          <w:rFonts w:cstheme="minorHAnsi"/>
          <w:lang w:val="en-GB"/>
        </w:rPr>
        <w:t xml:space="preserve"> </w:t>
      </w:r>
      <w:proofErr w:type="spellStart"/>
      <w:r w:rsidRPr="00FD3BF3">
        <w:rPr>
          <w:rFonts w:cstheme="minorHAnsi"/>
          <w:lang w:val="en-GB"/>
        </w:rPr>
        <w:t>een</w:t>
      </w:r>
      <w:proofErr w:type="spellEnd"/>
      <w:r w:rsidRPr="00FD3BF3">
        <w:rPr>
          <w:rFonts w:cstheme="minorHAnsi"/>
          <w:lang w:val="en-GB"/>
        </w:rPr>
        <w:t xml:space="preserve"> </w:t>
      </w:r>
      <w:proofErr w:type="spellStart"/>
      <w:r w:rsidRPr="00FD3BF3">
        <w:rPr>
          <w:rFonts w:cstheme="minorHAnsi"/>
          <w:lang w:val="en-GB"/>
        </w:rPr>
        <w:t>dergelijke</w:t>
      </w:r>
      <w:proofErr w:type="spellEnd"/>
      <w:r w:rsidRPr="00FD3BF3">
        <w:rPr>
          <w:rFonts w:cstheme="minorHAnsi"/>
          <w:lang w:val="en-GB"/>
        </w:rPr>
        <w:t xml:space="preserve"> procedure van ‘confirmatory information’ </w:t>
      </w:r>
      <w:proofErr w:type="spellStart"/>
      <w:r w:rsidRPr="00FD3BF3">
        <w:rPr>
          <w:rFonts w:cstheme="minorHAnsi"/>
          <w:lang w:val="en-GB"/>
        </w:rPr>
        <w:t>alleen</w:t>
      </w:r>
      <w:proofErr w:type="spellEnd"/>
      <w:r w:rsidRPr="00FD3BF3">
        <w:rPr>
          <w:rFonts w:cstheme="minorHAnsi"/>
          <w:lang w:val="en-GB"/>
        </w:rPr>
        <w:t xml:space="preserve"> </w:t>
      </w:r>
      <w:proofErr w:type="spellStart"/>
      <w:r w:rsidRPr="00FD3BF3">
        <w:rPr>
          <w:rFonts w:cstheme="minorHAnsi"/>
          <w:lang w:val="en-GB"/>
        </w:rPr>
        <w:t>kan</w:t>
      </w:r>
      <w:proofErr w:type="spellEnd"/>
      <w:r w:rsidRPr="00FD3BF3">
        <w:rPr>
          <w:rFonts w:cstheme="minorHAnsi"/>
          <w:lang w:val="en-GB"/>
        </w:rPr>
        <w:t xml:space="preserve"> </w:t>
      </w:r>
      <w:proofErr w:type="spellStart"/>
      <w:r w:rsidRPr="00FD3BF3">
        <w:rPr>
          <w:rFonts w:cstheme="minorHAnsi"/>
          <w:lang w:val="en-GB"/>
        </w:rPr>
        <w:t>plaatsvinden</w:t>
      </w:r>
      <w:proofErr w:type="spellEnd"/>
      <w:r w:rsidRPr="00FD3BF3">
        <w:rPr>
          <w:rFonts w:cstheme="minorHAnsi"/>
          <w:lang w:val="en-GB"/>
        </w:rPr>
        <w:t xml:space="preserve"> “</w:t>
      </w:r>
      <w:r w:rsidRPr="00FD3BF3">
        <w:rPr>
          <w:rFonts w:cstheme="minorHAnsi"/>
          <w:i/>
          <w:iCs/>
          <w:lang w:val="en-GB"/>
        </w:rPr>
        <w:t>where new requirements are established during the evaluation process or as a result of new scientific and technical knowledge</w:t>
      </w:r>
      <w:r w:rsidRPr="00FD3BF3">
        <w:rPr>
          <w:rFonts w:cstheme="minorHAnsi"/>
          <w:lang w:val="en-GB"/>
        </w:rPr>
        <w:t>”.</w:t>
      </w:r>
    </w:p>
    <w:p w14:paraId="2BE8A3F4" w14:textId="77777777" w:rsidR="00FC4DA2" w:rsidRPr="00FD3BF3" w:rsidRDefault="00C94110" w:rsidP="0026790C">
      <w:pPr>
        <w:spacing w:after="0"/>
        <w:jc w:val="both"/>
        <w:rPr>
          <w:rFonts w:cstheme="minorHAnsi"/>
        </w:rPr>
      </w:pPr>
      <w:r w:rsidRPr="00FD3BF3">
        <w:rPr>
          <w:rFonts w:cstheme="minorHAnsi"/>
        </w:rPr>
        <w:t xml:space="preserve">Er is echter helemaal geen sprake van nieuwe eisen die tijdens het beoordelingsproces zijn ontstaan, noch dat er sprake is van nieuwe wetenschappelijke inzichten. </w:t>
      </w:r>
    </w:p>
    <w:p w14:paraId="0913E575" w14:textId="12002DC5" w:rsidR="00C94110" w:rsidRPr="00FD3BF3" w:rsidRDefault="00C94110" w:rsidP="0026790C">
      <w:pPr>
        <w:spacing w:after="0"/>
        <w:jc w:val="both"/>
        <w:rPr>
          <w:rFonts w:cstheme="minorHAnsi"/>
          <w:lang w:val="en-GB"/>
        </w:rPr>
      </w:pPr>
      <w:r w:rsidRPr="00FD3BF3">
        <w:rPr>
          <w:rFonts w:cstheme="minorHAnsi"/>
          <w:lang w:val="en-GB"/>
        </w:rPr>
        <w:t>‘</w:t>
      </w:r>
      <w:proofErr w:type="spellStart"/>
      <w:r w:rsidRPr="00FD3BF3">
        <w:rPr>
          <w:rFonts w:cstheme="minorHAnsi"/>
          <w:lang w:val="en-GB"/>
        </w:rPr>
        <w:t>Relevante</w:t>
      </w:r>
      <w:proofErr w:type="spellEnd"/>
      <w:r w:rsidRPr="00FD3BF3">
        <w:rPr>
          <w:rFonts w:cstheme="minorHAnsi"/>
          <w:lang w:val="en-GB"/>
        </w:rPr>
        <w:t xml:space="preserve"> </w:t>
      </w:r>
      <w:proofErr w:type="spellStart"/>
      <w:r w:rsidRPr="00FD3BF3">
        <w:rPr>
          <w:rFonts w:cstheme="minorHAnsi"/>
          <w:lang w:val="en-GB"/>
        </w:rPr>
        <w:t>metabolieten</w:t>
      </w:r>
      <w:proofErr w:type="spellEnd"/>
      <w:r w:rsidRPr="00FD3BF3">
        <w:rPr>
          <w:rFonts w:cstheme="minorHAnsi"/>
          <w:lang w:val="en-GB"/>
        </w:rPr>
        <w:t xml:space="preserve">’ </w:t>
      </w:r>
      <w:proofErr w:type="spellStart"/>
      <w:r w:rsidRPr="00FD3BF3">
        <w:rPr>
          <w:rFonts w:cstheme="minorHAnsi"/>
          <w:lang w:val="en-GB"/>
        </w:rPr>
        <w:t>worden</w:t>
      </w:r>
      <w:proofErr w:type="spellEnd"/>
      <w:r w:rsidRPr="00FD3BF3">
        <w:rPr>
          <w:rFonts w:cstheme="minorHAnsi"/>
          <w:lang w:val="en-GB"/>
        </w:rPr>
        <w:t xml:space="preserve"> al </w:t>
      </w:r>
      <w:proofErr w:type="spellStart"/>
      <w:r w:rsidRPr="00FD3BF3">
        <w:rPr>
          <w:rFonts w:cstheme="minorHAnsi"/>
          <w:lang w:val="en-GB"/>
        </w:rPr>
        <w:t>aangeduid</w:t>
      </w:r>
      <w:proofErr w:type="spellEnd"/>
      <w:r w:rsidRPr="00FD3BF3">
        <w:rPr>
          <w:rFonts w:cstheme="minorHAnsi"/>
          <w:lang w:val="en-GB"/>
        </w:rPr>
        <w:t xml:space="preserve"> in de </w:t>
      </w:r>
      <w:proofErr w:type="spellStart"/>
      <w:r w:rsidRPr="00FD3BF3">
        <w:rPr>
          <w:rFonts w:cstheme="minorHAnsi"/>
          <w:lang w:val="en-GB"/>
        </w:rPr>
        <w:t>Verordening</w:t>
      </w:r>
      <w:proofErr w:type="spellEnd"/>
      <w:r w:rsidR="00E47D7F" w:rsidRPr="00FD3BF3">
        <w:rPr>
          <w:rFonts w:cstheme="minorHAnsi"/>
          <w:lang w:val="en-GB"/>
        </w:rPr>
        <w:t xml:space="preserve"> </w:t>
      </w:r>
      <w:proofErr w:type="spellStart"/>
      <w:r w:rsidR="00E47D7F" w:rsidRPr="00FD3BF3">
        <w:rPr>
          <w:rFonts w:cstheme="minorHAnsi"/>
          <w:lang w:val="en-GB"/>
        </w:rPr>
        <w:t>uit</w:t>
      </w:r>
      <w:proofErr w:type="spellEnd"/>
      <w:r w:rsidR="00E47D7F" w:rsidRPr="00FD3BF3">
        <w:rPr>
          <w:rFonts w:cstheme="minorHAnsi"/>
          <w:lang w:val="en-GB"/>
        </w:rPr>
        <w:t xml:space="preserve"> 2009</w:t>
      </w:r>
      <w:r w:rsidRPr="00FD3BF3">
        <w:rPr>
          <w:rFonts w:cstheme="minorHAnsi"/>
          <w:lang w:val="en-GB"/>
        </w:rPr>
        <w:t xml:space="preserve"> </w:t>
      </w:r>
      <w:proofErr w:type="spellStart"/>
      <w:r w:rsidRPr="00FD3BF3">
        <w:rPr>
          <w:rFonts w:cstheme="minorHAnsi"/>
          <w:lang w:val="en-GB"/>
        </w:rPr>
        <w:t>b</w:t>
      </w:r>
      <w:r w:rsidR="00E47D7F" w:rsidRPr="00FD3BF3">
        <w:rPr>
          <w:rFonts w:cstheme="minorHAnsi"/>
          <w:lang w:val="en-GB"/>
        </w:rPr>
        <w:t>ij</w:t>
      </w:r>
      <w:proofErr w:type="spellEnd"/>
      <w:r w:rsidRPr="00FD3BF3">
        <w:rPr>
          <w:rFonts w:cstheme="minorHAnsi"/>
          <w:lang w:val="en-GB"/>
        </w:rPr>
        <w:t xml:space="preserve"> </w:t>
      </w:r>
      <w:r w:rsidR="00E47D7F" w:rsidRPr="00FD3BF3">
        <w:rPr>
          <w:rFonts w:cstheme="minorHAnsi"/>
          <w:lang w:val="en-GB"/>
        </w:rPr>
        <w:t>‘</w:t>
      </w:r>
      <w:r w:rsidRPr="00FD3BF3">
        <w:rPr>
          <w:rFonts w:cstheme="minorHAnsi"/>
          <w:lang w:val="en-GB"/>
        </w:rPr>
        <w:t>whereas 23</w:t>
      </w:r>
      <w:r w:rsidR="00E47D7F" w:rsidRPr="00FD3BF3">
        <w:rPr>
          <w:rFonts w:cstheme="minorHAnsi"/>
          <w:lang w:val="en-GB"/>
        </w:rPr>
        <w:t>’</w:t>
      </w:r>
      <w:r w:rsidRPr="00FD3BF3">
        <w:rPr>
          <w:rFonts w:cstheme="minorHAnsi"/>
          <w:lang w:val="en-GB"/>
        </w:rPr>
        <w:t xml:space="preserve"> </w:t>
      </w:r>
      <w:proofErr w:type="spellStart"/>
      <w:r w:rsidRPr="00FD3BF3">
        <w:rPr>
          <w:rFonts w:cstheme="minorHAnsi"/>
          <w:lang w:val="en-GB"/>
        </w:rPr>
        <w:t>en</w:t>
      </w:r>
      <w:proofErr w:type="spellEnd"/>
      <w:r w:rsidRPr="00FD3BF3">
        <w:rPr>
          <w:rFonts w:cstheme="minorHAnsi"/>
          <w:lang w:val="en-GB"/>
        </w:rPr>
        <w:t xml:space="preserve"> </w:t>
      </w:r>
      <w:proofErr w:type="spellStart"/>
      <w:r w:rsidRPr="00FD3BF3">
        <w:rPr>
          <w:rFonts w:cstheme="minorHAnsi"/>
          <w:lang w:val="en-GB"/>
        </w:rPr>
        <w:t>dus</w:t>
      </w:r>
      <w:proofErr w:type="spellEnd"/>
      <w:r w:rsidRPr="00FD3BF3">
        <w:rPr>
          <w:rFonts w:cstheme="minorHAnsi"/>
          <w:lang w:val="en-GB"/>
        </w:rPr>
        <w:t xml:space="preserve"> had </w:t>
      </w:r>
      <w:proofErr w:type="spellStart"/>
      <w:r w:rsidRPr="00FD3BF3">
        <w:rPr>
          <w:rFonts w:cstheme="minorHAnsi"/>
          <w:lang w:val="en-GB"/>
        </w:rPr>
        <w:t>een</w:t>
      </w:r>
      <w:proofErr w:type="spellEnd"/>
      <w:r w:rsidRPr="00FD3BF3">
        <w:rPr>
          <w:rFonts w:cstheme="minorHAnsi"/>
          <w:lang w:val="en-GB"/>
        </w:rPr>
        <w:t xml:space="preserve"> </w:t>
      </w:r>
      <w:proofErr w:type="spellStart"/>
      <w:r w:rsidRPr="00FD3BF3">
        <w:rPr>
          <w:rFonts w:cstheme="minorHAnsi"/>
          <w:lang w:val="en-GB"/>
        </w:rPr>
        <w:t>oordeel</w:t>
      </w:r>
      <w:proofErr w:type="spellEnd"/>
      <w:r w:rsidRPr="00FD3BF3">
        <w:rPr>
          <w:rFonts w:cstheme="minorHAnsi"/>
          <w:lang w:val="en-GB"/>
        </w:rPr>
        <w:t xml:space="preserve"> over relevant of </w:t>
      </w:r>
      <w:proofErr w:type="spellStart"/>
      <w:r w:rsidRPr="00FD3BF3">
        <w:rPr>
          <w:rFonts w:cstheme="minorHAnsi"/>
          <w:lang w:val="en-GB"/>
        </w:rPr>
        <w:t>niet</w:t>
      </w:r>
      <w:proofErr w:type="spellEnd"/>
      <w:r w:rsidRPr="00FD3BF3">
        <w:rPr>
          <w:rFonts w:cstheme="minorHAnsi"/>
          <w:lang w:val="en-GB"/>
        </w:rPr>
        <w:t xml:space="preserve"> </w:t>
      </w:r>
      <w:proofErr w:type="spellStart"/>
      <w:r w:rsidRPr="00FD3BF3">
        <w:rPr>
          <w:rFonts w:cstheme="minorHAnsi"/>
          <w:lang w:val="en-GB"/>
        </w:rPr>
        <w:t>allang</w:t>
      </w:r>
      <w:proofErr w:type="spellEnd"/>
      <w:r w:rsidRPr="00FD3BF3">
        <w:rPr>
          <w:rFonts w:cstheme="minorHAnsi"/>
          <w:lang w:val="en-GB"/>
        </w:rPr>
        <w:t xml:space="preserve"> </w:t>
      </w:r>
      <w:proofErr w:type="spellStart"/>
      <w:r w:rsidRPr="00FD3BF3">
        <w:rPr>
          <w:rFonts w:cstheme="minorHAnsi"/>
          <w:lang w:val="en-GB"/>
        </w:rPr>
        <w:t>beslecht</w:t>
      </w:r>
      <w:proofErr w:type="spellEnd"/>
      <w:r w:rsidRPr="00FD3BF3">
        <w:rPr>
          <w:rFonts w:cstheme="minorHAnsi"/>
          <w:lang w:val="en-GB"/>
        </w:rPr>
        <w:t xml:space="preserve"> </w:t>
      </w:r>
      <w:proofErr w:type="spellStart"/>
      <w:r w:rsidRPr="00FD3BF3">
        <w:rPr>
          <w:rFonts w:cstheme="minorHAnsi"/>
          <w:lang w:val="en-GB"/>
        </w:rPr>
        <w:t>moeten</w:t>
      </w:r>
      <w:proofErr w:type="spellEnd"/>
      <w:r w:rsidRPr="00FD3BF3">
        <w:rPr>
          <w:rFonts w:cstheme="minorHAnsi"/>
          <w:lang w:val="en-GB"/>
        </w:rPr>
        <w:t xml:space="preserve"> </w:t>
      </w:r>
      <w:proofErr w:type="spellStart"/>
      <w:r w:rsidRPr="00FD3BF3">
        <w:rPr>
          <w:rFonts w:cstheme="minorHAnsi"/>
          <w:lang w:val="en-GB"/>
        </w:rPr>
        <w:t>zijn</w:t>
      </w:r>
      <w:proofErr w:type="spellEnd"/>
      <w:r w:rsidRPr="00FD3BF3">
        <w:rPr>
          <w:rFonts w:cstheme="minorHAnsi"/>
          <w:lang w:val="en-GB"/>
        </w:rPr>
        <w:t xml:space="preserve"> in de </w:t>
      </w:r>
      <w:proofErr w:type="spellStart"/>
      <w:r w:rsidRPr="00FD3BF3">
        <w:rPr>
          <w:rFonts w:cstheme="minorHAnsi"/>
          <w:lang w:val="en-GB"/>
        </w:rPr>
        <w:t>huidige</w:t>
      </w:r>
      <w:proofErr w:type="spellEnd"/>
      <w:r w:rsidRPr="00FD3BF3">
        <w:rPr>
          <w:rFonts w:cstheme="minorHAnsi"/>
          <w:lang w:val="en-GB"/>
        </w:rPr>
        <w:t xml:space="preserve"> </w:t>
      </w:r>
      <w:proofErr w:type="spellStart"/>
      <w:r w:rsidRPr="00FD3BF3">
        <w:rPr>
          <w:rFonts w:cstheme="minorHAnsi"/>
          <w:lang w:val="en-GB"/>
        </w:rPr>
        <w:t>toelating</w:t>
      </w:r>
      <w:proofErr w:type="spellEnd"/>
      <w:r w:rsidRPr="00FD3BF3">
        <w:rPr>
          <w:rFonts w:cstheme="minorHAnsi"/>
          <w:lang w:val="en-GB"/>
        </w:rPr>
        <w:t xml:space="preserve"> door het Ctgb van de </w:t>
      </w:r>
      <w:proofErr w:type="spellStart"/>
      <w:r w:rsidRPr="00FD3BF3">
        <w:rPr>
          <w:rFonts w:cstheme="minorHAnsi"/>
          <w:lang w:val="en-GB"/>
        </w:rPr>
        <w:t>middelen</w:t>
      </w:r>
      <w:proofErr w:type="spellEnd"/>
      <w:r w:rsidRPr="00FD3BF3">
        <w:rPr>
          <w:rFonts w:cstheme="minorHAnsi"/>
          <w:lang w:val="en-GB"/>
        </w:rPr>
        <w:t xml:space="preserve"> van </w:t>
      </w:r>
      <w:proofErr w:type="spellStart"/>
      <w:r w:rsidRPr="00FD3BF3">
        <w:rPr>
          <w:rFonts w:cstheme="minorHAnsi"/>
          <w:lang w:val="en-GB"/>
        </w:rPr>
        <w:t>captan</w:t>
      </w:r>
      <w:proofErr w:type="spellEnd"/>
      <w:r w:rsidRPr="00FD3BF3">
        <w:rPr>
          <w:rFonts w:cstheme="minorHAnsi"/>
          <w:lang w:val="en-GB"/>
        </w:rPr>
        <w:t xml:space="preserve"> op basis van de </w:t>
      </w:r>
      <w:proofErr w:type="spellStart"/>
      <w:r w:rsidRPr="00FD3BF3">
        <w:rPr>
          <w:rFonts w:cstheme="minorHAnsi"/>
          <w:lang w:val="en-GB"/>
        </w:rPr>
        <w:t>bepalingen</w:t>
      </w:r>
      <w:proofErr w:type="spellEnd"/>
      <w:r w:rsidRPr="00FD3BF3">
        <w:rPr>
          <w:rFonts w:cstheme="minorHAnsi"/>
          <w:lang w:val="en-GB"/>
        </w:rPr>
        <w:t xml:space="preserve"> </w:t>
      </w:r>
      <w:proofErr w:type="spellStart"/>
      <w:r w:rsidRPr="00FD3BF3">
        <w:rPr>
          <w:rFonts w:cstheme="minorHAnsi"/>
          <w:lang w:val="en-GB"/>
        </w:rPr>
        <w:t>uit</w:t>
      </w:r>
      <w:proofErr w:type="spellEnd"/>
      <w:r w:rsidRPr="00FD3BF3">
        <w:rPr>
          <w:rFonts w:cstheme="minorHAnsi"/>
          <w:lang w:val="en-GB"/>
        </w:rPr>
        <w:t xml:space="preserve"> de ‘Uniform Principles’</w:t>
      </w:r>
      <w:r w:rsidR="00AD0199" w:rsidRPr="00FD3BF3">
        <w:rPr>
          <w:rStyle w:val="Funotenzeichen"/>
          <w:rFonts w:cstheme="minorHAnsi"/>
          <w:lang w:val="en-GB"/>
        </w:rPr>
        <w:footnoteReference w:id="11"/>
      </w:r>
      <w:r w:rsidRPr="00FD3BF3">
        <w:rPr>
          <w:rFonts w:cstheme="minorHAnsi"/>
          <w:lang w:val="en-GB"/>
        </w:rPr>
        <w:t xml:space="preserve"> (2.5.1.2)</w:t>
      </w:r>
      <w:r w:rsidR="00AD0199" w:rsidRPr="00FD3BF3">
        <w:rPr>
          <w:rFonts w:cstheme="minorHAnsi"/>
          <w:lang w:val="en-GB"/>
        </w:rPr>
        <w:t>: “</w:t>
      </w:r>
      <w:r w:rsidR="00AD0199" w:rsidRPr="00FD3BF3">
        <w:rPr>
          <w:rFonts w:cstheme="minorHAnsi"/>
          <w:i/>
          <w:iCs/>
          <w:lang w:val="en-GB"/>
        </w:rPr>
        <w:t>Member States shall evaluate the possibility of the plant protection product reaching the groundwater under the proposed conditions of use; if this possibility exists, they shall estimate, using a suitable calculation model validated at EU level, the concentration of the active substance and of relevant metabolites, degradation and reaction products that could be expected in the groundwater in the area of envisaged use after use of the plant protection product in accordance with the proposed conditions of use</w:t>
      </w:r>
      <w:r w:rsidR="00AD0199" w:rsidRPr="00FD3BF3">
        <w:rPr>
          <w:rFonts w:cstheme="minorHAnsi"/>
          <w:lang w:val="en-GB"/>
        </w:rPr>
        <w:t>”.</w:t>
      </w:r>
    </w:p>
    <w:p w14:paraId="1BF46BBD" w14:textId="77777777" w:rsidR="002359BD" w:rsidRPr="00FD3BF3" w:rsidRDefault="002359BD" w:rsidP="0026790C">
      <w:pPr>
        <w:spacing w:after="0"/>
        <w:jc w:val="both"/>
        <w:rPr>
          <w:rFonts w:cstheme="minorHAnsi"/>
          <w:lang w:val="en-GB"/>
        </w:rPr>
      </w:pPr>
    </w:p>
    <w:p w14:paraId="6EAB0A46" w14:textId="039D1D20" w:rsidR="0038351C" w:rsidRPr="00FD3BF3" w:rsidRDefault="0038351C" w:rsidP="0026790C">
      <w:pPr>
        <w:spacing w:after="0"/>
        <w:jc w:val="both"/>
        <w:rPr>
          <w:rFonts w:cstheme="minorHAnsi"/>
        </w:rPr>
      </w:pPr>
      <w:r w:rsidRPr="00FD3BF3">
        <w:rPr>
          <w:rFonts w:cstheme="minorHAnsi"/>
        </w:rPr>
        <w:t>Al in 2007</w:t>
      </w:r>
      <w:r w:rsidRPr="00FD3BF3">
        <w:rPr>
          <w:rStyle w:val="Funotenzeichen"/>
          <w:rFonts w:cstheme="minorHAnsi"/>
          <w:lang w:val="en-GB"/>
        </w:rPr>
        <w:footnoteReference w:id="12"/>
      </w:r>
      <w:r w:rsidRPr="00FD3BF3">
        <w:rPr>
          <w:rFonts w:cstheme="minorHAnsi"/>
        </w:rPr>
        <w:t xml:space="preserve"> zijn voor </w:t>
      </w:r>
      <w:proofErr w:type="spellStart"/>
      <w:r w:rsidRPr="00FD3BF3">
        <w:rPr>
          <w:rFonts w:cstheme="minorHAnsi"/>
        </w:rPr>
        <w:t>captan</w:t>
      </w:r>
      <w:proofErr w:type="spellEnd"/>
      <w:r w:rsidRPr="00FD3BF3">
        <w:rPr>
          <w:rFonts w:cstheme="minorHAnsi"/>
        </w:rPr>
        <w:t xml:space="preserve"> dergelijke ‘</w:t>
      </w:r>
      <w:proofErr w:type="spellStart"/>
      <w:r w:rsidRPr="00FD3BF3">
        <w:rPr>
          <w:rFonts w:cstheme="minorHAnsi"/>
        </w:rPr>
        <w:t>confirmatory</w:t>
      </w:r>
      <w:proofErr w:type="spellEnd"/>
      <w:r w:rsidRPr="00FD3BF3">
        <w:rPr>
          <w:rFonts w:cstheme="minorHAnsi"/>
        </w:rPr>
        <w:t xml:space="preserve"> data’ eisen opgelegd aan de aanvrager:</w:t>
      </w:r>
    </w:p>
    <w:p w14:paraId="62FFB57A" w14:textId="3A3956D7" w:rsidR="009917C3" w:rsidRPr="00FD3BF3" w:rsidRDefault="0038351C" w:rsidP="0026790C">
      <w:pPr>
        <w:spacing w:after="0"/>
        <w:jc w:val="both"/>
        <w:rPr>
          <w:rFonts w:cstheme="minorHAnsi"/>
          <w:iCs/>
        </w:rPr>
      </w:pPr>
      <w:r w:rsidRPr="00FD3BF3">
        <w:rPr>
          <w:rFonts w:cstheme="minorHAnsi"/>
          <w:i/>
          <w:lang w:val="en-GB"/>
        </w:rPr>
        <w:t xml:space="preserve">“The Member States concerned shall request the submission of further studies to confirm the </w:t>
      </w:r>
      <w:proofErr w:type="gramStart"/>
      <w:r w:rsidRPr="00FD3BF3">
        <w:rPr>
          <w:rFonts w:cstheme="minorHAnsi"/>
          <w:i/>
          <w:lang w:val="en-GB"/>
        </w:rPr>
        <w:t>long term</w:t>
      </w:r>
      <w:proofErr w:type="gramEnd"/>
      <w:r w:rsidRPr="00FD3BF3">
        <w:rPr>
          <w:rFonts w:cstheme="minorHAnsi"/>
          <w:i/>
          <w:lang w:val="en-GB"/>
        </w:rPr>
        <w:t xml:space="preserve"> risk assessment for birds and mammals, as well as the toxicological assessment on metabolites potentially present in groundwater under vulnerable conditions. They shall ensure that the Notifiers at whose request captan has been included in this Annex provide such studies to the Commission within 2 years from the entry into force of this Directive”.</w:t>
      </w:r>
      <w:r w:rsidRPr="00FD3BF3">
        <w:rPr>
          <w:rFonts w:cstheme="minorHAnsi"/>
          <w:iCs/>
          <w:lang w:val="en-GB"/>
        </w:rPr>
        <w:t xml:space="preserve"> </w:t>
      </w:r>
      <w:r w:rsidRPr="00FD3BF3">
        <w:rPr>
          <w:rFonts w:cstheme="minorHAnsi"/>
          <w:iCs/>
        </w:rPr>
        <w:t>Hoe kan het dat dit 17 jaar later nog eens gebeur</w:t>
      </w:r>
      <w:r w:rsidR="00FC4DA2" w:rsidRPr="00FD3BF3">
        <w:rPr>
          <w:rFonts w:cstheme="minorHAnsi"/>
          <w:iCs/>
        </w:rPr>
        <w:t>t</w:t>
      </w:r>
      <w:r w:rsidRPr="00FD3BF3">
        <w:rPr>
          <w:rFonts w:cstheme="minorHAnsi"/>
          <w:iCs/>
        </w:rPr>
        <w:t>? Dat betekent dat de bescherming van het grondwater niet de aandacht heeft gekregen</w:t>
      </w:r>
      <w:r w:rsidR="00FC4DA2" w:rsidRPr="00FD3BF3">
        <w:rPr>
          <w:rFonts w:cstheme="minorHAnsi"/>
          <w:iCs/>
        </w:rPr>
        <w:t xml:space="preserve"> van het Ctgb</w:t>
      </w:r>
      <w:r w:rsidRPr="00FD3BF3">
        <w:rPr>
          <w:rFonts w:cstheme="minorHAnsi"/>
          <w:iCs/>
        </w:rPr>
        <w:t xml:space="preserve"> die het verdient en onherstelbare vervuiling is toegelaten. </w:t>
      </w:r>
    </w:p>
    <w:p w14:paraId="2526649A" w14:textId="77777777" w:rsidR="009917C3" w:rsidRPr="00FD3BF3" w:rsidRDefault="009917C3" w:rsidP="0026790C">
      <w:pPr>
        <w:spacing w:after="0"/>
        <w:jc w:val="both"/>
        <w:rPr>
          <w:rFonts w:cstheme="minorHAnsi"/>
          <w:iCs/>
        </w:rPr>
      </w:pPr>
    </w:p>
    <w:p w14:paraId="4C2B9138" w14:textId="4FB89558" w:rsidR="002359BD" w:rsidRPr="00FD3BF3" w:rsidRDefault="002359BD" w:rsidP="0026790C">
      <w:pPr>
        <w:spacing w:after="0"/>
        <w:jc w:val="both"/>
        <w:rPr>
          <w:rFonts w:cstheme="minorHAnsi"/>
        </w:rPr>
      </w:pPr>
      <w:r w:rsidRPr="00FD3BF3">
        <w:rPr>
          <w:rFonts w:cstheme="minorHAnsi"/>
        </w:rPr>
        <w:t xml:space="preserve">Wonderlijk genoeg staat in </w:t>
      </w:r>
      <w:r w:rsidR="00D859A8" w:rsidRPr="00FD3BF3">
        <w:rPr>
          <w:rFonts w:cstheme="minorHAnsi"/>
        </w:rPr>
        <w:t xml:space="preserve">een </w:t>
      </w:r>
      <w:r w:rsidRPr="00FD3BF3">
        <w:rPr>
          <w:rFonts w:cstheme="minorHAnsi"/>
        </w:rPr>
        <w:t>huidige toelating</w:t>
      </w:r>
      <w:r w:rsidR="00D859A8" w:rsidRPr="00FD3BF3">
        <w:rPr>
          <w:rFonts w:cstheme="minorHAnsi"/>
        </w:rPr>
        <w:t xml:space="preserve"> (SCAB 80 WG, Ctgb toelating 2017)</w:t>
      </w:r>
      <w:r w:rsidRPr="00FD3BF3">
        <w:rPr>
          <w:rFonts w:cstheme="minorHAnsi"/>
        </w:rPr>
        <w:t xml:space="preserve"> te lezen:</w:t>
      </w:r>
    </w:p>
    <w:p w14:paraId="04422F1D" w14:textId="7BD23C8E" w:rsidR="002359BD" w:rsidRPr="00FD3BF3" w:rsidRDefault="002359BD" w:rsidP="0026790C">
      <w:pPr>
        <w:spacing w:after="0"/>
        <w:jc w:val="both"/>
        <w:rPr>
          <w:rFonts w:cstheme="minorHAnsi"/>
        </w:rPr>
      </w:pPr>
      <w:r w:rsidRPr="00FD3BF3">
        <w:rPr>
          <w:rFonts w:cstheme="minorHAnsi"/>
          <w:lang w:val="en-GB"/>
        </w:rPr>
        <w:t>“</w:t>
      </w:r>
      <w:r w:rsidRPr="00FD3BF3">
        <w:rPr>
          <w:rFonts w:cstheme="minorHAnsi"/>
          <w:i/>
          <w:iCs/>
          <w:lang w:val="en-GB"/>
        </w:rPr>
        <w:t xml:space="preserve">Groundwater non-relevance assessments were therefore triggered for these metabolites. In point IIIA 9.6 of the core </w:t>
      </w:r>
      <w:proofErr w:type="gramStart"/>
      <w:r w:rsidRPr="00FD3BF3">
        <w:rPr>
          <w:rFonts w:cstheme="minorHAnsi"/>
          <w:i/>
          <w:iCs/>
          <w:lang w:val="en-GB"/>
        </w:rPr>
        <w:t>dossier</w:t>
      </w:r>
      <w:proofErr w:type="gramEnd"/>
      <w:r w:rsidRPr="00FD3BF3">
        <w:rPr>
          <w:rFonts w:cstheme="minorHAnsi"/>
          <w:i/>
          <w:iCs/>
          <w:lang w:val="en-GB"/>
        </w:rPr>
        <w:t xml:space="preserve">, a toxicological and eco-toxicological assessment of these metabolites was given </w:t>
      </w:r>
      <w:r w:rsidRPr="00FD3BF3">
        <w:rPr>
          <w:rFonts w:cstheme="minorHAnsi"/>
          <w:i/>
          <w:iCs/>
          <w:lang w:val="en-GB"/>
        </w:rPr>
        <w:lastRenderedPageBreak/>
        <w:t>showing that they are not of (eco)toxicological concern</w:t>
      </w:r>
      <w:r w:rsidRPr="00FD3BF3">
        <w:rPr>
          <w:rFonts w:cstheme="minorHAnsi"/>
          <w:lang w:val="en-GB"/>
        </w:rPr>
        <w:t>”.</w:t>
      </w:r>
      <w:r w:rsidR="00D859A8" w:rsidRPr="00FD3BF3">
        <w:rPr>
          <w:rFonts w:cstheme="minorHAnsi"/>
          <w:lang w:val="en-GB"/>
        </w:rPr>
        <w:t xml:space="preserve"> </w:t>
      </w:r>
      <w:r w:rsidR="00D859A8" w:rsidRPr="00FD3BF3">
        <w:rPr>
          <w:rFonts w:cstheme="minorHAnsi"/>
        </w:rPr>
        <w:t>De metabolieten THPI</w:t>
      </w:r>
      <w:r w:rsidR="0037638A" w:rsidRPr="00FD3BF3">
        <w:rPr>
          <w:rFonts w:cstheme="minorHAnsi"/>
        </w:rPr>
        <w:t xml:space="preserve"> en</w:t>
      </w:r>
      <w:r w:rsidR="00D859A8" w:rsidRPr="00FD3BF3">
        <w:rPr>
          <w:rFonts w:cstheme="minorHAnsi"/>
        </w:rPr>
        <w:t xml:space="preserve"> THPAM mogen dus van het Ctgb het grondwater verontreinigen, tot wel 40x</w:t>
      </w:r>
      <w:r w:rsidR="00A5220F" w:rsidRPr="00FD3BF3">
        <w:rPr>
          <w:rFonts w:cstheme="minorHAnsi"/>
        </w:rPr>
        <w:t xml:space="preserve"> (al bij 90-percentiel waarden)</w:t>
      </w:r>
      <w:r w:rsidR="00D859A8" w:rsidRPr="00FD3BF3">
        <w:rPr>
          <w:rFonts w:cstheme="minorHAnsi"/>
        </w:rPr>
        <w:t xml:space="preserve"> boven de grenswaarde voor toxische stoffen. Dit, terwijl nu blijkt, dat het helemaal niet vaststaat dat deze twee metabolieten onschuldige verbindingen zijn. </w:t>
      </w:r>
    </w:p>
    <w:p w14:paraId="4CE166C4" w14:textId="39120481" w:rsidR="009917C3" w:rsidRPr="00FD3BF3" w:rsidRDefault="009917C3" w:rsidP="0026790C">
      <w:pPr>
        <w:spacing w:after="0"/>
        <w:jc w:val="both"/>
        <w:rPr>
          <w:rFonts w:cstheme="minorHAnsi"/>
        </w:rPr>
      </w:pPr>
      <w:r w:rsidRPr="00FD3BF3">
        <w:rPr>
          <w:rFonts w:cstheme="minorHAnsi"/>
        </w:rPr>
        <w:t>Misschien heeft het Ctgb de studies over de metabolieten die door de aanvrager (</w:t>
      </w:r>
      <w:proofErr w:type="spellStart"/>
      <w:r w:rsidRPr="00FD3BF3">
        <w:rPr>
          <w:rFonts w:cstheme="minorHAnsi"/>
        </w:rPr>
        <w:t>Makhteshim</w:t>
      </w:r>
      <w:proofErr w:type="spellEnd"/>
      <w:r w:rsidRPr="00FD3BF3">
        <w:rPr>
          <w:rFonts w:cstheme="minorHAnsi"/>
        </w:rPr>
        <w:t xml:space="preserve"> Chemical Works </w:t>
      </w:r>
      <w:proofErr w:type="spellStart"/>
      <w:r w:rsidRPr="00FD3BF3">
        <w:rPr>
          <w:rFonts w:cstheme="minorHAnsi"/>
        </w:rPr>
        <w:t>Ltd</w:t>
      </w:r>
      <w:proofErr w:type="spellEnd"/>
      <w:r w:rsidRPr="00FD3BF3">
        <w:rPr>
          <w:rFonts w:cstheme="minorHAnsi"/>
        </w:rPr>
        <w:t xml:space="preserve"> </w:t>
      </w:r>
      <w:proofErr w:type="spellStart"/>
      <w:r w:rsidRPr="00FD3BF3">
        <w:rPr>
          <w:rFonts w:cstheme="minorHAnsi"/>
        </w:rPr>
        <w:t>and</w:t>
      </w:r>
      <w:proofErr w:type="spellEnd"/>
      <w:r w:rsidRPr="00FD3BF3">
        <w:rPr>
          <w:rFonts w:cstheme="minorHAnsi"/>
        </w:rPr>
        <w:t xml:space="preserve"> </w:t>
      </w:r>
      <w:proofErr w:type="spellStart"/>
      <w:r w:rsidRPr="00FD3BF3">
        <w:rPr>
          <w:rFonts w:cstheme="minorHAnsi"/>
        </w:rPr>
        <w:t>Arysta</w:t>
      </w:r>
      <w:proofErr w:type="spellEnd"/>
      <w:r w:rsidRPr="00FD3BF3">
        <w:rPr>
          <w:rFonts w:cstheme="minorHAnsi"/>
        </w:rPr>
        <w:t xml:space="preserve"> </w:t>
      </w:r>
      <w:proofErr w:type="spellStart"/>
      <w:r w:rsidRPr="00FD3BF3">
        <w:rPr>
          <w:rFonts w:cstheme="minorHAnsi"/>
        </w:rPr>
        <w:t>LifeScience</w:t>
      </w:r>
      <w:proofErr w:type="spellEnd"/>
      <w:r w:rsidRPr="00FD3BF3">
        <w:rPr>
          <w:rFonts w:cstheme="minorHAnsi"/>
        </w:rPr>
        <w:t xml:space="preserve"> SAS) in 2010 zijn aangeleverd aan RMS Italië zijn aangeleverd hiervoor als basis genomen. Deze studies zijn heel erg beperkt (</w:t>
      </w:r>
      <w:r w:rsidR="007108A1" w:rsidRPr="00FD3BF3">
        <w:rPr>
          <w:rFonts w:cstheme="minorHAnsi"/>
        </w:rPr>
        <w:t>éé</w:t>
      </w:r>
      <w:r w:rsidRPr="00FD3BF3">
        <w:rPr>
          <w:rFonts w:cstheme="minorHAnsi"/>
        </w:rPr>
        <w:t xml:space="preserve">n dosis oraal) met twijfelachtige beweringen over geconstateerde </w:t>
      </w:r>
      <w:proofErr w:type="gramStart"/>
      <w:r w:rsidR="007108A1" w:rsidRPr="00FD3BF3">
        <w:rPr>
          <w:rFonts w:cstheme="minorHAnsi"/>
        </w:rPr>
        <w:t>chromosoom</w:t>
      </w:r>
      <w:r w:rsidRPr="00FD3BF3">
        <w:rPr>
          <w:rFonts w:cstheme="minorHAnsi"/>
        </w:rPr>
        <w:t xml:space="preserve"> afwijkingen</w:t>
      </w:r>
      <w:proofErr w:type="gramEnd"/>
      <w:r w:rsidR="007108A1" w:rsidRPr="00FD3BF3">
        <w:rPr>
          <w:rFonts w:cstheme="minorHAnsi"/>
        </w:rPr>
        <w:t xml:space="preserve">, maar waarbij de schadelijke eigenschappen die bij captan te zien zijn (om. </w:t>
      </w:r>
      <w:proofErr w:type="spellStart"/>
      <w:proofErr w:type="gramStart"/>
      <w:r w:rsidR="00FC4DA2" w:rsidRPr="00FD3BF3">
        <w:rPr>
          <w:rFonts w:cstheme="minorHAnsi"/>
        </w:rPr>
        <w:t>c</w:t>
      </w:r>
      <w:r w:rsidR="007108A1" w:rsidRPr="00FD3BF3">
        <w:rPr>
          <w:rFonts w:cstheme="minorHAnsi"/>
        </w:rPr>
        <w:t>raniofaciale</w:t>
      </w:r>
      <w:proofErr w:type="spellEnd"/>
      <w:proofErr w:type="gramEnd"/>
      <w:r w:rsidR="007108A1" w:rsidRPr="00FD3BF3">
        <w:rPr>
          <w:rFonts w:cstheme="minorHAnsi"/>
        </w:rPr>
        <w:t xml:space="preserve"> afwijkingen bij het nageslacht) niet zijn beoordeeld. Daarmee zijn de metabolieten niet </w:t>
      </w:r>
      <w:r w:rsidR="00A42AA8" w:rsidRPr="00FD3BF3">
        <w:rPr>
          <w:rFonts w:cstheme="minorHAnsi"/>
        </w:rPr>
        <w:t>vrijgepleit</w:t>
      </w:r>
      <w:r w:rsidR="007108A1" w:rsidRPr="00FD3BF3">
        <w:rPr>
          <w:rFonts w:cstheme="minorHAnsi"/>
        </w:rPr>
        <w:t xml:space="preserve">.  </w:t>
      </w:r>
      <w:r w:rsidRPr="00FD3BF3">
        <w:rPr>
          <w:rFonts w:cstheme="minorHAnsi"/>
        </w:rPr>
        <w:t xml:space="preserve"> </w:t>
      </w:r>
    </w:p>
    <w:p w14:paraId="79520808" w14:textId="77777777" w:rsidR="0038351C" w:rsidRPr="00FD3BF3" w:rsidRDefault="0038351C" w:rsidP="0026790C">
      <w:pPr>
        <w:spacing w:after="0"/>
        <w:jc w:val="both"/>
        <w:rPr>
          <w:rFonts w:cstheme="minorHAnsi"/>
        </w:rPr>
      </w:pPr>
    </w:p>
    <w:p w14:paraId="53A5F84C" w14:textId="267E1EB0" w:rsidR="0038351C" w:rsidRPr="00FD3BF3" w:rsidRDefault="0038351C" w:rsidP="0026790C">
      <w:pPr>
        <w:spacing w:after="0"/>
        <w:jc w:val="both"/>
        <w:rPr>
          <w:rFonts w:cstheme="minorHAnsi"/>
        </w:rPr>
      </w:pPr>
      <w:r w:rsidRPr="00FD3BF3">
        <w:rPr>
          <w:rFonts w:cstheme="minorHAnsi"/>
        </w:rPr>
        <w:t>Het besluit van het Ctgb van 15 oktober 2024 is daarmee onbegrijpelijk</w:t>
      </w:r>
      <w:r w:rsidR="007108A1" w:rsidRPr="00FD3BF3">
        <w:rPr>
          <w:rFonts w:cstheme="minorHAnsi"/>
        </w:rPr>
        <w:t>, onwetenschappelijk</w:t>
      </w:r>
      <w:r w:rsidRPr="00FD3BF3">
        <w:rPr>
          <w:rFonts w:cstheme="minorHAnsi"/>
        </w:rPr>
        <w:t xml:space="preserve"> en inconsistent.</w:t>
      </w:r>
    </w:p>
    <w:p w14:paraId="7D700384" w14:textId="77777777" w:rsidR="0038351C" w:rsidRPr="00FD3BF3" w:rsidRDefault="0038351C" w:rsidP="0026790C">
      <w:pPr>
        <w:spacing w:after="0"/>
        <w:jc w:val="both"/>
        <w:rPr>
          <w:rFonts w:cstheme="minorHAnsi"/>
        </w:rPr>
      </w:pPr>
    </w:p>
    <w:p w14:paraId="3C7C39D1" w14:textId="298E6BE0" w:rsidR="0038351C" w:rsidRPr="00FD3BF3" w:rsidRDefault="00BA02BF" w:rsidP="0026790C">
      <w:pPr>
        <w:spacing w:after="0"/>
        <w:jc w:val="both"/>
        <w:rPr>
          <w:rFonts w:cstheme="minorHAnsi"/>
        </w:rPr>
      </w:pPr>
      <w:r w:rsidRPr="00FD3BF3">
        <w:rPr>
          <w:rFonts w:cstheme="minorHAnsi"/>
        </w:rPr>
        <w:t>Verder stellen we vast dat het Ctgb op 30 oktober 2024 een verzoek tot toelating van het middel SCAB 80 WG op basis van captan heeft afgewezen met de volgende motivering:</w:t>
      </w:r>
    </w:p>
    <w:p w14:paraId="3EDABECD" w14:textId="4F139382" w:rsidR="00BA02BF" w:rsidRPr="00FD3BF3" w:rsidRDefault="00BA02BF" w:rsidP="0026790C">
      <w:pPr>
        <w:spacing w:after="0"/>
        <w:jc w:val="both"/>
        <w:rPr>
          <w:rFonts w:cstheme="minorHAnsi"/>
        </w:rPr>
      </w:pPr>
      <w:r w:rsidRPr="00FD3BF3">
        <w:rPr>
          <w:rFonts w:cstheme="minorHAnsi"/>
        </w:rPr>
        <w:t>“</w:t>
      </w:r>
      <w:r w:rsidRPr="00FD3BF3">
        <w:rPr>
          <w:rFonts w:cstheme="minorHAnsi"/>
          <w:i/>
          <w:iCs/>
        </w:rPr>
        <w:t xml:space="preserve">Voor geen van de aangevraagde toepassingen van het middel kan een acceptabel risico voor bodemorganismen en niet-doelwit </w:t>
      </w:r>
      <w:proofErr w:type="spellStart"/>
      <w:r w:rsidRPr="00FD3BF3">
        <w:rPr>
          <w:rFonts w:cstheme="minorHAnsi"/>
          <w:i/>
          <w:iCs/>
        </w:rPr>
        <w:t>arthropoden</w:t>
      </w:r>
      <w:proofErr w:type="spellEnd"/>
      <w:r w:rsidRPr="00FD3BF3">
        <w:rPr>
          <w:rFonts w:cstheme="minorHAnsi"/>
          <w:i/>
          <w:iCs/>
        </w:rPr>
        <w:t xml:space="preserve"> worden geconcludeerd. </w:t>
      </w:r>
      <w:proofErr w:type="gramStart"/>
      <w:r w:rsidRPr="00FD3BF3">
        <w:rPr>
          <w:rFonts w:cstheme="minorHAnsi"/>
          <w:i/>
          <w:iCs/>
        </w:rPr>
        <w:t>Tevens</w:t>
      </w:r>
      <w:proofErr w:type="gramEnd"/>
      <w:r w:rsidRPr="00FD3BF3">
        <w:rPr>
          <w:rFonts w:cstheme="minorHAnsi"/>
          <w:i/>
          <w:iCs/>
        </w:rPr>
        <w:t xml:space="preserve"> is er een onacceptabel risico voor uitspoeling van metabolieten naar grondwater voor de jaarlijkse toepassing in tulp en de andere onder die risico-enveloppe vallende jaarlijks toegepaste gebruiken in gladiool, hyacint, iris, krokus en anemoon</w:t>
      </w:r>
      <w:r w:rsidRPr="00FD3BF3">
        <w:rPr>
          <w:rFonts w:cstheme="minorHAnsi"/>
        </w:rPr>
        <w:t>”.</w:t>
      </w:r>
    </w:p>
    <w:p w14:paraId="775AA07A" w14:textId="241E92D8" w:rsidR="00BA02BF" w:rsidRPr="00FD3BF3" w:rsidRDefault="00BA02BF" w:rsidP="0026790C">
      <w:pPr>
        <w:spacing w:after="0"/>
        <w:jc w:val="both"/>
        <w:rPr>
          <w:rFonts w:cstheme="minorHAnsi"/>
        </w:rPr>
      </w:pPr>
      <w:r w:rsidRPr="00FD3BF3">
        <w:rPr>
          <w:rFonts w:cstheme="minorHAnsi"/>
        </w:rPr>
        <w:t>Zowel geen veilig gebruik voor het milieu als voor de bescherming van het grondwater.</w:t>
      </w:r>
      <w:r w:rsidR="00CC6010" w:rsidRPr="00FD3BF3">
        <w:rPr>
          <w:rFonts w:cstheme="minorHAnsi"/>
        </w:rPr>
        <w:t xml:space="preserve">  De huidige weigering om in te trekken valt niet te rijmen met dit besluit. </w:t>
      </w:r>
    </w:p>
    <w:p w14:paraId="7B952657" w14:textId="77777777" w:rsidR="008344CD" w:rsidRPr="00FD3BF3" w:rsidRDefault="008344CD" w:rsidP="0026790C">
      <w:pPr>
        <w:spacing w:after="0"/>
        <w:jc w:val="both"/>
        <w:rPr>
          <w:rFonts w:cstheme="minorHAnsi"/>
        </w:rPr>
      </w:pPr>
    </w:p>
    <w:p w14:paraId="256EE09E" w14:textId="54461664" w:rsidR="008344CD" w:rsidRPr="00FD3BF3" w:rsidRDefault="008344CD" w:rsidP="0026790C">
      <w:pPr>
        <w:spacing w:after="0"/>
        <w:jc w:val="both"/>
        <w:rPr>
          <w:rFonts w:cstheme="minorHAnsi"/>
        </w:rPr>
      </w:pPr>
      <w:r w:rsidRPr="00FD3BF3">
        <w:rPr>
          <w:rFonts w:cstheme="minorHAnsi"/>
        </w:rPr>
        <w:t xml:space="preserve">Om de verwarring nog te vergroten staat op pagina 23 van dit besluit (SCAB-besluit van 30 oktober 2024) dat de metabolieten THPAM en THPI wel relevant zijn. Hoe kunnen de metabolieten in het besluit van 15 oktober 2024 niet relevant zijn, en twee weken later in een ander Ctgb-besluit wel relevant? </w:t>
      </w:r>
    </w:p>
    <w:p w14:paraId="75204E72" w14:textId="77777777" w:rsidR="00BA02BF" w:rsidRPr="00FD3BF3" w:rsidRDefault="00BA02BF" w:rsidP="0026790C">
      <w:pPr>
        <w:spacing w:after="0"/>
        <w:jc w:val="both"/>
        <w:rPr>
          <w:rFonts w:cstheme="minorHAnsi"/>
        </w:rPr>
      </w:pPr>
    </w:p>
    <w:p w14:paraId="173C5C9A" w14:textId="0131DFA4" w:rsidR="00BA02BF" w:rsidRPr="00FD3BF3" w:rsidRDefault="00BA02BF" w:rsidP="0026790C">
      <w:pPr>
        <w:spacing w:after="0"/>
        <w:jc w:val="both"/>
        <w:rPr>
          <w:rFonts w:cstheme="minorHAnsi"/>
        </w:rPr>
      </w:pPr>
      <w:r w:rsidRPr="00FD3BF3">
        <w:rPr>
          <w:rFonts w:cstheme="minorHAnsi"/>
        </w:rPr>
        <w:t>In het licht van dit besluit van 30 oktober 2024, is het besluit van het Ctgb van 15 oktober 2024 niet te begrijpen</w:t>
      </w:r>
      <w:r w:rsidR="007B01A9" w:rsidRPr="00FD3BF3">
        <w:rPr>
          <w:rFonts w:cstheme="minorHAnsi"/>
        </w:rPr>
        <w:t xml:space="preserve"> en in ieder geval onjuist en strijdig met diverse bepalingen van de Verordening. </w:t>
      </w:r>
    </w:p>
    <w:p w14:paraId="7CB88791" w14:textId="77777777" w:rsidR="00D30DE3" w:rsidRPr="00FD3BF3" w:rsidRDefault="00D30DE3" w:rsidP="0026790C">
      <w:pPr>
        <w:spacing w:after="0"/>
        <w:jc w:val="both"/>
        <w:rPr>
          <w:rFonts w:cstheme="minorHAnsi"/>
        </w:rPr>
      </w:pPr>
    </w:p>
    <w:p w14:paraId="333DAC81" w14:textId="501C3A7B" w:rsidR="00D30DE3" w:rsidRPr="00FD3BF3" w:rsidRDefault="00FC4DA2" w:rsidP="0026790C">
      <w:pPr>
        <w:spacing w:after="0"/>
        <w:jc w:val="both"/>
        <w:rPr>
          <w:rFonts w:cstheme="minorHAnsi"/>
        </w:rPr>
      </w:pPr>
      <w:r w:rsidRPr="00FD3BF3">
        <w:rPr>
          <w:rFonts w:cstheme="minorHAnsi"/>
        </w:rPr>
        <w:t>Wij verzoeken u, op basis van bovenstaande argumenten, tot onmiddellijke intrekking over te gaan van alle in Nederland toegelaten middelen op basis van het pesticide captan</w:t>
      </w:r>
      <w:r w:rsidR="00084CA7" w:rsidRPr="00FD3BF3">
        <w:rPr>
          <w:rFonts w:cstheme="minorHAnsi"/>
        </w:rPr>
        <w:t xml:space="preserve"> voor gebruik in open velden</w:t>
      </w:r>
      <w:r w:rsidRPr="00FD3BF3">
        <w:rPr>
          <w:rFonts w:cstheme="minorHAnsi"/>
        </w:rPr>
        <w:t xml:space="preserve">. </w:t>
      </w:r>
    </w:p>
    <w:p w14:paraId="74AEC1E5" w14:textId="77777777" w:rsidR="00FC4DA2" w:rsidRPr="00FD3BF3" w:rsidRDefault="00FC4DA2" w:rsidP="00D30DE3">
      <w:pPr>
        <w:spacing w:after="0"/>
        <w:rPr>
          <w:rFonts w:cstheme="minorHAnsi"/>
        </w:rPr>
      </w:pPr>
    </w:p>
    <w:p w14:paraId="5301ADD6" w14:textId="09C208F7" w:rsidR="00FC4DA2" w:rsidRPr="00FD3BF3" w:rsidRDefault="00FC4DA2" w:rsidP="00D30DE3">
      <w:pPr>
        <w:spacing w:after="0"/>
        <w:rPr>
          <w:rFonts w:cstheme="minorHAnsi"/>
        </w:rPr>
      </w:pPr>
      <w:r w:rsidRPr="00FD3BF3">
        <w:rPr>
          <w:rFonts w:cstheme="minorHAnsi"/>
        </w:rPr>
        <w:t>Hoogachtend,</w:t>
      </w:r>
    </w:p>
    <w:p w14:paraId="3E2BDC31" w14:textId="6D8D1385" w:rsidR="00FC4DA2" w:rsidRDefault="00A42AA8" w:rsidP="00D30DE3">
      <w:pPr>
        <w:spacing w:after="0"/>
        <w:rPr>
          <w:rFonts w:cstheme="minorHAnsi"/>
        </w:rPr>
      </w:pPr>
      <w:r>
        <w:rPr>
          <w:rFonts w:cstheme="minorHAnsi"/>
        </w:rPr>
        <w:t xml:space="preserve">Namens </w:t>
      </w:r>
      <w:r w:rsidR="00FC4DA2" w:rsidRPr="00FD3BF3">
        <w:rPr>
          <w:rFonts w:cstheme="minorHAnsi"/>
        </w:rPr>
        <w:t>PAN</w:t>
      </w:r>
      <w:r>
        <w:rPr>
          <w:rFonts w:cstheme="minorHAnsi"/>
        </w:rPr>
        <w:t>-</w:t>
      </w:r>
      <w:r w:rsidR="00FC4DA2" w:rsidRPr="00FD3BF3">
        <w:rPr>
          <w:rFonts w:cstheme="minorHAnsi"/>
        </w:rPr>
        <w:t>NL</w:t>
      </w:r>
    </w:p>
    <w:p w14:paraId="73780B44" w14:textId="61AC6DD8" w:rsidR="00A42AA8" w:rsidRDefault="009127A5" w:rsidP="00D30DE3">
      <w:pPr>
        <w:spacing w:after="0"/>
        <w:rPr>
          <w:rFonts w:cstheme="minorHAnsi"/>
        </w:rPr>
      </w:pPr>
      <w:r>
        <w:rPr>
          <w:rFonts w:cstheme="minorHAnsi"/>
          <w:noProof/>
        </w:rPr>
        <w:drawing>
          <wp:inline distT="0" distB="0" distL="0" distR="0" wp14:anchorId="2EFEE278" wp14:editId="5389B59B">
            <wp:extent cx="1083733" cy="708595"/>
            <wp:effectExtent l="0" t="0" r="0" b="3175"/>
            <wp:docPr id="1918542286" name="Grafik 1" descr="Ein Bild, das Entwurf, Zeichnung,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2286" name="Grafik 1" descr="Ein Bild, das Entwurf, Zeichnung, Kalligrafie, Typografi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347" cy="717496"/>
                    </a:xfrm>
                    <a:prstGeom prst="rect">
                      <a:avLst/>
                    </a:prstGeom>
                  </pic:spPr>
                </pic:pic>
              </a:graphicData>
            </a:graphic>
          </wp:inline>
        </w:drawing>
      </w:r>
    </w:p>
    <w:p w14:paraId="2680B598" w14:textId="0EA57599" w:rsidR="00A42AA8" w:rsidRPr="00FD3BF3" w:rsidRDefault="00A42AA8" w:rsidP="00D30DE3">
      <w:pPr>
        <w:spacing w:after="0"/>
        <w:rPr>
          <w:rFonts w:cstheme="minorHAnsi"/>
        </w:rPr>
      </w:pPr>
      <w:r>
        <w:rPr>
          <w:rFonts w:cstheme="minorHAnsi"/>
        </w:rPr>
        <w:t>M. Mantingh</w:t>
      </w:r>
    </w:p>
    <w:sectPr w:rsidR="00A42AA8" w:rsidRPr="00FD3BF3" w:rsidSect="00F5303F">
      <w:footerReference w:type="even" r:id="rId10"/>
      <w:footerReference w:type="default" r:id="rId11"/>
      <w:pgSz w:w="11906" w:h="16838"/>
      <w:pgMar w:top="1417" w:right="1417" w:bottom="1417" w:left="141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28E6C" w14:textId="77777777" w:rsidR="004F6E9F" w:rsidRDefault="004F6E9F" w:rsidP="006E2616">
      <w:pPr>
        <w:spacing w:after="0" w:line="240" w:lineRule="auto"/>
      </w:pPr>
      <w:r>
        <w:separator/>
      </w:r>
    </w:p>
  </w:endnote>
  <w:endnote w:type="continuationSeparator" w:id="0">
    <w:p w14:paraId="13B3BA23" w14:textId="77777777" w:rsidR="004F6E9F" w:rsidRDefault="004F6E9F" w:rsidP="006E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98703167"/>
      <w:docPartObj>
        <w:docPartGallery w:val="Page Numbers (Bottom of Page)"/>
        <w:docPartUnique/>
      </w:docPartObj>
    </w:sdtPr>
    <w:sdtContent>
      <w:p w14:paraId="002489FB" w14:textId="3FA09766" w:rsidR="0026790C" w:rsidRDefault="0026790C" w:rsidP="007814F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0B74456" w14:textId="77777777" w:rsidR="0026790C" w:rsidRDefault="0026790C" w:rsidP="0026790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31109660"/>
      <w:docPartObj>
        <w:docPartGallery w:val="Page Numbers (Bottom of Page)"/>
        <w:docPartUnique/>
      </w:docPartObj>
    </w:sdtPr>
    <w:sdtContent>
      <w:p w14:paraId="09F8C9BB" w14:textId="1266F3AE" w:rsidR="0026790C" w:rsidRDefault="0026790C" w:rsidP="0026790C">
        <w:pPr>
          <w:pStyle w:val="Fuzeile"/>
          <w:framePr w:h="772" w:hRule="exact" w:wrap="none" w:vAnchor="text" w:hAnchor="margin" w:xAlign="right" w:y="266"/>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r>
          <w:rPr>
            <w:rStyle w:val="Seitenzahl"/>
          </w:rPr>
          <w:t>/ 5</w:t>
        </w:r>
      </w:p>
    </w:sdtContent>
  </w:sdt>
  <w:p w14:paraId="327ECFF1" w14:textId="77777777" w:rsidR="00F5303F" w:rsidRPr="00092198" w:rsidRDefault="00F5303F" w:rsidP="00F5303F">
    <w:pPr>
      <w:pStyle w:val="Fuzeile"/>
      <w:ind w:right="360"/>
      <w:jc w:val="center"/>
      <w:rPr>
        <w:rFonts w:ascii="Open Sans" w:hAnsi="Open Sans" w:cs="Open Sans"/>
        <w:b/>
        <w:bCs/>
        <w:color w:val="0D0D0D" w:themeColor="text1" w:themeTint="F2"/>
        <w:sz w:val="20"/>
        <w:szCs w:val="20"/>
        <w:lang w:val="en-US"/>
      </w:rPr>
    </w:pPr>
  </w:p>
  <w:p w14:paraId="2CA12F93" w14:textId="5F2BE862" w:rsidR="00F5303F" w:rsidRPr="00F5303F" w:rsidRDefault="00F5303F" w:rsidP="00F5303F">
    <w:pPr>
      <w:pStyle w:val="Fuzeile"/>
      <w:ind w:right="360"/>
      <w:jc w:val="center"/>
      <w:rPr>
        <w:rFonts w:ascii="Open Sans" w:hAnsi="Open Sans" w:cs="Open Sans"/>
        <w:color w:val="262626" w:themeColor="text1" w:themeTint="D9"/>
        <w:sz w:val="20"/>
        <w:szCs w:val="20"/>
        <w:lang w:val="en-US"/>
      </w:rPr>
    </w:pPr>
    <w:r w:rsidRPr="00F5303F">
      <w:rPr>
        <w:rFonts w:ascii="Open Sans" w:hAnsi="Open Sans" w:cs="Open Sans"/>
        <w:color w:val="262626" w:themeColor="text1" w:themeTint="D9"/>
        <w:sz w:val="20"/>
        <w:szCs w:val="20"/>
        <w:lang w:val="en-US"/>
      </w:rPr>
      <w:t xml:space="preserve">Pesticide Action Network Netherlands l ANBI-RSIN: 8611 93 581 l </w:t>
    </w:r>
    <w:proofErr w:type="spellStart"/>
    <w:r w:rsidRPr="00F5303F">
      <w:rPr>
        <w:rFonts w:ascii="Open Sans" w:hAnsi="Open Sans" w:cs="Open Sans"/>
        <w:color w:val="262626" w:themeColor="text1" w:themeTint="D9"/>
        <w:sz w:val="20"/>
        <w:szCs w:val="20"/>
        <w:lang w:val="en-US"/>
      </w:rPr>
      <w:t>KvK-nummer</w:t>
    </w:r>
    <w:proofErr w:type="spellEnd"/>
    <w:r w:rsidRPr="00F5303F">
      <w:rPr>
        <w:rFonts w:ascii="Open Sans" w:hAnsi="Open Sans" w:cs="Open Sans"/>
        <w:color w:val="262626" w:themeColor="text1" w:themeTint="D9"/>
        <w:sz w:val="20"/>
        <w:szCs w:val="20"/>
        <w:lang w:val="en-US"/>
      </w:rPr>
      <w:t xml:space="preserve">: 77908627 </w:t>
    </w:r>
  </w:p>
  <w:p w14:paraId="3EAADFEB" w14:textId="77777777" w:rsidR="00F5303F" w:rsidRPr="00F5303F" w:rsidRDefault="00F5303F" w:rsidP="00F5303F">
    <w:pPr>
      <w:pStyle w:val="Fuzeile"/>
      <w:jc w:val="center"/>
      <w:rPr>
        <w:rFonts w:ascii="Open Sans" w:hAnsi="Open Sans" w:cs="Open Sans"/>
        <w:color w:val="262626" w:themeColor="text1" w:themeTint="D9"/>
        <w:sz w:val="20"/>
        <w:szCs w:val="20"/>
        <w:lang w:val="en-US"/>
      </w:rPr>
    </w:pPr>
    <w:r w:rsidRPr="00F5303F">
      <w:rPr>
        <w:rFonts w:ascii="Open Sans" w:hAnsi="Open Sans" w:cs="Open Sans"/>
        <w:color w:val="262626" w:themeColor="text1" w:themeTint="D9"/>
        <w:sz w:val="20"/>
        <w:szCs w:val="20"/>
        <w:lang w:val="en-US"/>
      </w:rPr>
      <w:t>IBAN NL02 TRIO 0788 9402 87</w:t>
    </w:r>
  </w:p>
  <w:p w14:paraId="5EC8EB20" w14:textId="77777777" w:rsidR="00F5303F" w:rsidRPr="00F5303F" w:rsidRDefault="00F5303F">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0985F" w14:textId="77777777" w:rsidR="004F6E9F" w:rsidRDefault="004F6E9F" w:rsidP="006E2616">
      <w:pPr>
        <w:spacing w:after="0" w:line="240" w:lineRule="auto"/>
      </w:pPr>
      <w:r>
        <w:separator/>
      </w:r>
    </w:p>
  </w:footnote>
  <w:footnote w:type="continuationSeparator" w:id="0">
    <w:p w14:paraId="2E035057" w14:textId="77777777" w:rsidR="004F6E9F" w:rsidRDefault="004F6E9F" w:rsidP="006E2616">
      <w:pPr>
        <w:spacing w:after="0" w:line="240" w:lineRule="auto"/>
      </w:pPr>
      <w:r>
        <w:continuationSeparator/>
      </w:r>
    </w:p>
  </w:footnote>
  <w:footnote w:id="1">
    <w:p w14:paraId="7AD55E11" w14:textId="2892E3C1" w:rsidR="009353F3" w:rsidRDefault="009353F3">
      <w:pPr>
        <w:pStyle w:val="Funotentext"/>
      </w:pPr>
      <w:r>
        <w:rPr>
          <w:rStyle w:val="Funotenzeichen"/>
        </w:rPr>
        <w:footnoteRef/>
      </w:r>
      <w:r>
        <w:t xml:space="preserve"> </w:t>
      </w:r>
      <w:hyperlink r:id="rId1" w:history="1">
        <w:r w:rsidRPr="009353F3">
          <w:rPr>
            <w:rStyle w:val="Hyperlink"/>
          </w:rPr>
          <w:t>https://food.ec.europa.eu/horizontal-topics/committees/paff-committees/phytopharmaceuticals_en</w:t>
        </w:r>
      </w:hyperlink>
    </w:p>
  </w:footnote>
  <w:footnote w:id="2">
    <w:p w14:paraId="459BD831" w14:textId="3E67BB99" w:rsidR="009876B0" w:rsidRDefault="009876B0">
      <w:pPr>
        <w:pStyle w:val="Funotentext"/>
      </w:pPr>
      <w:r>
        <w:rPr>
          <w:rStyle w:val="Funotenzeichen"/>
        </w:rPr>
        <w:footnoteRef/>
      </w:r>
      <w:r>
        <w:t xml:space="preserve"> Zie ook: </w:t>
      </w:r>
      <w:r w:rsidRPr="009876B0">
        <w:t xml:space="preserve">ECJ </w:t>
      </w:r>
      <w:proofErr w:type="spellStart"/>
      <w:r w:rsidRPr="009876B0">
        <w:t>judgements</w:t>
      </w:r>
      <w:proofErr w:type="spellEnd"/>
      <w:r w:rsidRPr="009876B0">
        <w:t xml:space="preserve"> C-308/22, C-309/22 </w:t>
      </w:r>
      <w:proofErr w:type="spellStart"/>
      <w:r w:rsidRPr="009876B0">
        <w:t>and</w:t>
      </w:r>
      <w:proofErr w:type="spellEnd"/>
      <w:r w:rsidRPr="009876B0">
        <w:t xml:space="preserve"> C-310/22</w:t>
      </w:r>
    </w:p>
  </w:footnote>
  <w:footnote w:id="3">
    <w:p w14:paraId="2F246D7D" w14:textId="5A3FD432" w:rsidR="009876B0" w:rsidRPr="009876B0" w:rsidRDefault="009876B0">
      <w:pPr>
        <w:pStyle w:val="Funotentext"/>
        <w:rPr>
          <w:lang w:val="en-GB"/>
        </w:rPr>
      </w:pPr>
      <w:r>
        <w:rPr>
          <w:rStyle w:val="Funotenzeichen"/>
        </w:rPr>
        <w:footnoteRef/>
      </w:r>
      <w:r w:rsidRPr="009876B0">
        <w:rPr>
          <w:lang w:val="en-GB"/>
        </w:rPr>
        <w:t xml:space="preserve"> verdict EU </w:t>
      </w:r>
      <w:proofErr w:type="gramStart"/>
      <w:r w:rsidRPr="009876B0">
        <w:rPr>
          <w:lang w:val="en-GB"/>
        </w:rPr>
        <w:t>Court( joint</w:t>
      </w:r>
      <w:proofErr w:type="gramEnd"/>
      <w:r w:rsidRPr="009876B0">
        <w:rPr>
          <w:lang w:val="en-GB"/>
        </w:rPr>
        <w:t xml:space="preserve"> cases C-309/22 and C-310/22</w:t>
      </w:r>
    </w:p>
  </w:footnote>
  <w:footnote w:id="4">
    <w:p w14:paraId="3DCD42A8" w14:textId="595FB4C7" w:rsidR="006E2616" w:rsidRPr="00FD3BF3" w:rsidRDefault="006E2616">
      <w:pPr>
        <w:pStyle w:val="Funotentext"/>
        <w:rPr>
          <w:rFonts w:cstheme="minorHAnsi"/>
          <w:sz w:val="18"/>
          <w:szCs w:val="18"/>
          <w:lang w:val="en-GB"/>
        </w:rPr>
      </w:pPr>
      <w:r w:rsidRPr="00FD3BF3">
        <w:rPr>
          <w:rStyle w:val="Funotenzeichen"/>
          <w:rFonts w:cstheme="minorHAnsi"/>
          <w:sz w:val="18"/>
          <w:szCs w:val="18"/>
        </w:rPr>
        <w:footnoteRef/>
      </w:r>
      <w:r w:rsidRPr="00FD3BF3">
        <w:rPr>
          <w:rFonts w:cstheme="minorHAnsi"/>
          <w:sz w:val="18"/>
          <w:szCs w:val="18"/>
          <w:lang w:val="en-GB"/>
        </w:rPr>
        <w:t xml:space="preserve"> </w:t>
      </w:r>
      <w:hyperlink r:id="rId2" w:history="1">
        <w:r w:rsidRPr="00FD3BF3">
          <w:rPr>
            <w:rStyle w:val="Hyperlink"/>
            <w:rFonts w:cstheme="minorHAnsi"/>
            <w:sz w:val="18"/>
            <w:szCs w:val="18"/>
            <w:lang w:val="en-GB"/>
          </w:rPr>
          <w:t>https://www.efsa.europa.eu/en/efsajournal/pub/6230</w:t>
        </w:r>
      </w:hyperlink>
    </w:p>
  </w:footnote>
  <w:footnote w:id="5">
    <w:p w14:paraId="7020E06E" w14:textId="3F99022A" w:rsidR="006E2616" w:rsidRPr="00FD3BF3" w:rsidRDefault="006E2616">
      <w:pPr>
        <w:pStyle w:val="Funotentext"/>
        <w:rPr>
          <w:rFonts w:cstheme="minorHAnsi"/>
          <w:sz w:val="18"/>
          <w:szCs w:val="18"/>
          <w:lang w:val="en-GB"/>
        </w:rPr>
      </w:pPr>
      <w:r w:rsidRPr="00FD3BF3">
        <w:rPr>
          <w:rStyle w:val="Funotenzeichen"/>
          <w:rFonts w:cstheme="minorHAnsi"/>
          <w:sz w:val="18"/>
          <w:szCs w:val="18"/>
        </w:rPr>
        <w:footnoteRef/>
      </w:r>
      <w:r w:rsidRPr="00FD3BF3">
        <w:rPr>
          <w:rFonts w:cstheme="minorHAnsi"/>
          <w:sz w:val="18"/>
          <w:szCs w:val="18"/>
          <w:lang w:val="en-GB"/>
        </w:rPr>
        <w:t xml:space="preserve"> </w:t>
      </w:r>
      <w:bookmarkStart w:id="0" w:name="_Hlk182219168"/>
      <w:r w:rsidRPr="00FD3BF3">
        <w:rPr>
          <w:rFonts w:cstheme="minorHAnsi"/>
          <w:sz w:val="18"/>
          <w:szCs w:val="18"/>
        </w:rPr>
        <w:fldChar w:fldCharType="begin"/>
      </w:r>
      <w:r w:rsidRPr="00FD3BF3">
        <w:rPr>
          <w:rFonts w:cstheme="minorHAnsi"/>
          <w:sz w:val="18"/>
          <w:szCs w:val="18"/>
          <w:lang w:val="en-GB"/>
        </w:rPr>
        <w:instrText>HYPERLINK "https://www.efsa.europa.eu/en/efsajournal/pub/8576"</w:instrText>
      </w:r>
      <w:r w:rsidRPr="00FD3BF3">
        <w:rPr>
          <w:rFonts w:cstheme="minorHAnsi"/>
          <w:sz w:val="18"/>
          <w:szCs w:val="18"/>
        </w:rPr>
      </w:r>
      <w:r w:rsidRPr="00FD3BF3">
        <w:rPr>
          <w:rFonts w:cstheme="minorHAnsi"/>
          <w:sz w:val="18"/>
          <w:szCs w:val="18"/>
        </w:rPr>
        <w:fldChar w:fldCharType="separate"/>
      </w:r>
      <w:r w:rsidRPr="00FD3BF3">
        <w:rPr>
          <w:rStyle w:val="Hyperlink"/>
          <w:rFonts w:cstheme="minorHAnsi"/>
          <w:sz w:val="18"/>
          <w:szCs w:val="18"/>
          <w:lang w:val="en-GB"/>
        </w:rPr>
        <w:t>https://www.efsa.europa.eu/en/efsajournal/pub/8576</w:t>
      </w:r>
      <w:r w:rsidRPr="00FD3BF3">
        <w:rPr>
          <w:rFonts w:cstheme="minorHAnsi"/>
          <w:sz w:val="18"/>
          <w:szCs w:val="18"/>
        </w:rPr>
        <w:fldChar w:fldCharType="end"/>
      </w:r>
      <w:bookmarkEnd w:id="0"/>
    </w:p>
  </w:footnote>
  <w:footnote w:id="6">
    <w:p w14:paraId="781404F7" w14:textId="78EC0184" w:rsidR="00E958C1" w:rsidRPr="00FD3BF3" w:rsidRDefault="00E958C1">
      <w:pPr>
        <w:pStyle w:val="Funotentext"/>
        <w:rPr>
          <w:rFonts w:cstheme="minorHAnsi"/>
          <w:sz w:val="18"/>
          <w:szCs w:val="18"/>
          <w:lang w:val="en-GB"/>
        </w:rPr>
      </w:pPr>
      <w:r w:rsidRPr="00FD3BF3">
        <w:rPr>
          <w:rStyle w:val="Funotenzeichen"/>
          <w:rFonts w:cstheme="minorHAnsi"/>
          <w:sz w:val="18"/>
          <w:szCs w:val="18"/>
        </w:rPr>
        <w:footnoteRef/>
      </w:r>
      <w:r w:rsidRPr="00FD3BF3">
        <w:rPr>
          <w:rFonts w:cstheme="minorHAnsi"/>
          <w:sz w:val="18"/>
          <w:szCs w:val="18"/>
          <w:lang w:val="en-GB"/>
        </w:rPr>
        <w:t xml:space="preserve"> </w:t>
      </w:r>
      <w:hyperlink r:id="rId3" w:history="1">
        <w:r w:rsidRPr="00FD3BF3">
          <w:rPr>
            <w:rStyle w:val="Hyperlink"/>
            <w:rFonts w:cstheme="minorHAnsi"/>
            <w:sz w:val="18"/>
            <w:szCs w:val="18"/>
            <w:lang w:val="en-GB"/>
          </w:rPr>
          <w:t>https://www.efsa.europa.eu/en/efsajournal/pub/8576</w:t>
        </w:r>
      </w:hyperlink>
    </w:p>
  </w:footnote>
  <w:footnote w:id="7">
    <w:p w14:paraId="21F966F9" w14:textId="360A43DE" w:rsidR="00E958C1" w:rsidRPr="00FD3BF3" w:rsidRDefault="00E958C1" w:rsidP="00E958C1">
      <w:pPr>
        <w:pStyle w:val="Funotentext"/>
        <w:rPr>
          <w:rFonts w:cstheme="minorHAnsi"/>
          <w:sz w:val="18"/>
          <w:szCs w:val="18"/>
          <w:lang w:val="en-GB"/>
        </w:rPr>
      </w:pPr>
      <w:r w:rsidRPr="00FD3BF3">
        <w:rPr>
          <w:rStyle w:val="Funotenzeichen"/>
          <w:rFonts w:cstheme="minorHAnsi"/>
          <w:sz w:val="18"/>
          <w:szCs w:val="18"/>
        </w:rPr>
        <w:footnoteRef/>
      </w:r>
      <w:r w:rsidRPr="00FD3BF3">
        <w:rPr>
          <w:rFonts w:cstheme="minorHAnsi"/>
          <w:sz w:val="18"/>
          <w:szCs w:val="18"/>
          <w:lang w:val="en-GB"/>
        </w:rPr>
        <w:t xml:space="preserve"> REGULATION (EC) No 178/2002 OF THE EUROPEAN PARLIAMENT AND OF THE COUNCIL of 28 January 2002.</w:t>
      </w:r>
    </w:p>
  </w:footnote>
  <w:footnote w:id="8">
    <w:p w14:paraId="7C263BD8" w14:textId="7DDA21E4" w:rsidR="009876B0" w:rsidRPr="009876B0" w:rsidRDefault="009876B0">
      <w:pPr>
        <w:pStyle w:val="Funotentext"/>
        <w:rPr>
          <w:lang w:val="en-GB"/>
        </w:rPr>
      </w:pPr>
      <w:r w:rsidRPr="00FD3BF3">
        <w:rPr>
          <w:rStyle w:val="Funotenzeichen"/>
          <w:rFonts w:cstheme="minorHAnsi"/>
          <w:sz w:val="18"/>
          <w:szCs w:val="18"/>
        </w:rPr>
        <w:footnoteRef/>
      </w:r>
      <w:r w:rsidRPr="00FD3BF3">
        <w:rPr>
          <w:rFonts w:cstheme="minorHAnsi"/>
          <w:sz w:val="18"/>
          <w:szCs w:val="18"/>
          <w:lang w:val="en-GB"/>
        </w:rPr>
        <w:t xml:space="preserve"> JUDGMENT OF THE TRIBUNAL (fourth chamber), February 21, 2024, case T 536/22, point 404</w:t>
      </w:r>
    </w:p>
  </w:footnote>
  <w:footnote w:id="9">
    <w:p w14:paraId="19A77017" w14:textId="05382E52" w:rsidR="00EC43F6" w:rsidRPr="00C94110" w:rsidRDefault="00EC43F6">
      <w:pPr>
        <w:pStyle w:val="Funotentext"/>
        <w:rPr>
          <w:lang w:val="en-GB"/>
        </w:rPr>
      </w:pPr>
      <w:r>
        <w:rPr>
          <w:rStyle w:val="Funotenzeichen"/>
        </w:rPr>
        <w:footnoteRef/>
      </w:r>
      <w:r w:rsidRPr="00C94110">
        <w:rPr>
          <w:lang w:val="en-GB"/>
        </w:rPr>
        <w:t xml:space="preserve"> </w:t>
      </w:r>
      <w:hyperlink r:id="rId4" w:history="1">
        <w:r w:rsidRPr="00C94110">
          <w:rPr>
            <w:rStyle w:val="Hyperlink"/>
            <w:lang w:val="en-GB"/>
          </w:rPr>
          <w:t>https://www.efsa.europa.eu/en/efsajournal/pub/6230</w:t>
        </w:r>
      </w:hyperlink>
    </w:p>
  </w:footnote>
  <w:footnote w:id="10">
    <w:p w14:paraId="5496184A" w14:textId="6836B3AE" w:rsidR="00EC43F6" w:rsidRPr="00C94110" w:rsidRDefault="00EC43F6">
      <w:pPr>
        <w:pStyle w:val="Funotentext"/>
        <w:rPr>
          <w:lang w:val="en-GB"/>
        </w:rPr>
      </w:pPr>
      <w:r>
        <w:rPr>
          <w:rStyle w:val="Funotenzeichen"/>
        </w:rPr>
        <w:footnoteRef/>
      </w:r>
      <w:r w:rsidRPr="00C94110">
        <w:rPr>
          <w:lang w:val="en-GB"/>
        </w:rPr>
        <w:t xml:space="preserve"> </w:t>
      </w:r>
      <w:hyperlink r:id="rId5" w:history="1">
        <w:r w:rsidRPr="00C94110">
          <w:rPr>
            <w:rStyle w:val="Hyperlink"/>
            <w:lang w:val="en-GB"/>
          </w:rPr>
          <w:t>https://www.efsa.europa.eu/en/efsajournal/pub/8576</w:t>
        </w:r>
      </w:hyperlink>
    </w:p>
  </w:footnote>
  <w:footnote w:id="11">
    <w:p w14:paraId="3E275BE8" w14:textId="768163E6" w:rsidR="00AD0199" w:rsidRPr="00BA02BF" w:rsidRDefault="00AD0199">
      <w:pPr>
        <w:pStyle w:val="Funotentext"/>
        <w:rPr>
          <w:lang w:val="en-GB"/>
        </w:rPr>
      </w:pPr>
      <w:r>
        <w:rPr>
          <w:rStyle w:val="Funotenzeichen"/>
        </w:rPr>
        <w:footnoteRef/>
      </w:r>
      <w:r w:rsidRPr="00BA02BF">
        <w:rPr>
          <w:lang w:val="en-GB"/>
        </w:rPr>
        <w:t xml:space="preserve"> COMMISSION REGULATION (EU) No 546/2011</w:t>
      </w:r>
    </w:p>
  </w:footnote>
  <w:footnote w:id="12">
    <w:p w14:paraId="1E259A3D" w14:textId="4FDAE5C4" w:rsidR="0038351C" w:rsidRPr="0038351C" w:rsidRDefault="0038351C">
      <w:pPr>
        <w:pStyle w:val="Funotentext"/>
        <w:rPr>
          <w:lang w:val="en-GB"/>
        </w:rPr>
      </w:pPr>
      <w:r>
        <w:rPr>
          <w:rStyle w:val="Funotenzeichen"/>
        </w:rPr>
        <w:footnoteRef/>
      </w:r>
      <w:r w:rsidRPr="0038351C">
        <w:rPr>
          <w:lang w:val="en-GB"/>
        </w:rPr>
        <w:t xml:space="preserve"> Inclusion Directive for Captan (2007/5/EC)</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35DAA"/>
    <w:multiLevelType w:val="hybridMultilevel"/>
    <w:tmpl w:val="C67AEC6A"/>
    <w:lvl w:ilvl="0" w:tplc="312A85D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813C26"/>
    <w:multiLevelType w:val="hybridMultilevel"/>
    <w:tmpl w:val="DEC24494"/>
    <w:lvl w:ilvl="0" w:tplc="7DC21BC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9072B2"/>
    <w:multiLevelType w:val="hybridMultilevel"/>
    <w:tmpl w:val="DA7ED5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169753">
    <w:abstractNumId w:val="0"/>
  </w:num>
  <w:num w:numId="2" w16cid:durableId="1772630157">
    <w:abstractNumId w:val="1"/>
  </w:num>
  <w:num w:numId="3" w16cid:durableId="55458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64"/>
    <w:rsid w:val="000219F8"/>
    <w:rsid w:val="00022125"/>
    <w:rsid w:val="00032625"/>
    <w:rsid w:val="0008444C"/>
    <w:rsid w:val="00084CA7"/>
    <w:rsid w:val="00092198"/>
    <w:rsid w:val="000B54E5"/>
    <w:rsid w:val="000C07E5"/>
    <w:rsid w:val="000F36C0"/>
    <w:rsid w:val="001170B7"/>
    <w:rsid w:val="001E1CA8"/>
    <w:rsid w:val="002246D8"/>
    <w:rsid w:val="002359BD"/>
    <w:rsid w:val="0026790C"/>
    <w:rsid w:val="00273E7B"/>
    <w:rsid w:val="002C16C8"/>
    <w:rsid w:val="002F4B6A"/>
    <w:rsid w:val="0037638A"/>
    <w:rsid w:val="00376884"/>
    <w:rsid w:val="0038351C"/>
    <w:rsid w:val="003A315C"/>
    <w:rsid w:val="003A6B4F"/>
    <w:rsid w:val="003E5A96"/>
    <w:rsid w:val="0041349B"/>
    <w:rsid w:val="004135F2"/>
    <w:rsid w:val="0043674E"/>
    <w:rsid w:val="00465D84"/>
    <w:rsid w:val="0047585B"/>
    <w:rsid w:val="00480FC1"/>
    <w:rsid w:val="004A41D7"/>
    <w:rsid w:val="004E4058"/>
    <w:rsid w:val="004F1991"/>
    <w:rsid w:val="004F6E9F"/>
    <w:rsid w:val="00512712"/>
    <w:rsid w:val="00565E26"/>
    <w:rsid w:val="0058456B"/>
    <w:rsid w:val="00592325"/>
    <w:rsid w:val="005A4742"/>
    <w:rsid w:val="005C24AE"/>
    <w:rsid w:val="005F6D48"/>
    <w:rsid w:val="00601B73"/>
    <w:rsid w:val="00603F14"/>
    <w:rsid w:val="00610044"/>
    <w:rsid w:val="00633F78"/>
    <w:rsid w:val="006566DC"/>
    <w:rsid w:val="006A3B95"/>
    <w:rsid w:val="006D77A1"/>
    <w:rsid w:val="006E2616"/>
    <w:rsid w:val="007004BB"/>
    <w:rsid w:val="007108A1"/>
    <w:rsid w:val="00727A0F"/>
    <w:rsid w:val="007B01A9"/>
    <w:rsid w:val="007B0978"/>
    <w:rsid w:val="008032B0"/>
    <w:rsid w:val="00803CA8"/>
    <w:rsid w:val="00820525"/>
    <w:rsid w:val="008344CD"/>
    <w:rsid w:val="0084186A"/>
    <w:rsid w:val="008715A6"/>
    <w:rsid w:val="00891918"/>
    <w:rsid w:val="008977FD"/>
    <w:rsid w:val="008B5638"/>
    <w:rsid w:val="008C3088"/>
    <w:rsid w:val="008F5912"/>
    <w:rsid w:val="009127A5"/>
    <w:rsid w:val="009353F3"/>
    <w:rsid w:val="00970E98"/>
    <w:rsid w:val="0098066E"/>
    <w:rsid w:val="009876B0"/>
    <w:rsid w:val="009917C3"/>
    <w:rsid w:val="009D4F0B"/>
    <w:rsid w:val="00A01996"/>
    <w:rsid w:val="00A42AA8"/>
    <w:rsid w:val="00A5220F"/>
    <w:rsid w:val="00AB2F98"/>
    <w:rsid w:val="00AD0199"/>
    <w:rsid w:val="00B04408"/>
    <w:rsid w:val="00B07135"/>
    <w:rsid w:val="00B3406D"/>
    <w:rsid w:val="00B804A3"/>
    <w:rsid w:val="00B93AF2"/>
    <w:rsid w:val="00BA02BF"/>
    <w:rsid w:val="00BE723D"/>
    <w:rsid w:val="00C1131B"/>
    <w:rsid w:val="00C15545"/>
    <w:rsid w:val="00C242E7"/>
    <w:rsid w:val="00C24F4D"/>
    <w:rsid w:val="00C27BDC"/>
    <w:rsid w:val="00C31F00"/>
    <w:rsid w:val="00C35814"/>
    <w:rsid w:val="00C36E2C"/>
    <w:rsid w:val="00C44C98"/>
    <w:rsid w:val="00C72D33"/>
    <w:rsid w:val="00C94110"/>
    <w:rsid w:val="00CA2C5A"/>
    <w:rsid w:val="00CC6010"/>
    <w:rsid w:val="00D30DE3"/>
    <w:rsid w:val="00D859A8"/>
    <w:rsid w:val="00DA0AD4"/>
    <w:rsid w:val="00E35CF0"/>
    <w:rsid w:val="00E45D5D"/>
    <w:rsid w:val="00E47D7F"/>
    <w:rsid w:val="00E64F24"/>
    <w:rsid w:val="00E70BB6"/>
    <w:rsid w:val="00E958C1"/>
    <w:rsid w:val="00EA36CC"/>
    <w:rsid w:val="00EC43F6"/>
    <w:rsid w:val="00EF10EB"/>
    <w:rsid w:val="00F00535"/>
    <w:rsid w:val="00F20764"/>
    <w:rsid w:val="00F369F3"/>
    <w:rsid w:val="00F419E7"/>
    <w:rsid w:val="00F4519B"/>
    <w:rsid w:val="00F5303F"/>
    <w:rsid w:val="00F85106"/>
    <w:rsid w:val="00F86AC8"/>
    <w:rsid w:val="00F91DA2"/>
    <w:rsid w:val="00FC4DA2"/>
    <w:rsid w:val="00FD30AC"/>
    <w:rsid w:val="00FD3BF3"/>
    <w:rsid w:val="00FF7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FC5B"/>
  <w15:chartTrackingRefBased/>
  <w15:docId w15:val="{5511CA54-B6D7-4246-BB8D-C28F49B5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125"/>
  </w:style>
  <w:style w:type="paragraph" w:styleId="berschrift1">
    <w:name w:val="heading 1"/>
    <w:basedOn w:val="Standard"/>
    <w:next w:val="Standard"/>
    <w:link w:val="berschrift1Zchn"/>
    <w:uiPriority w:val="9"/>
    <w:qFormat/>
    <w:rsid w:val="0027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86A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F86AC8"/>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FF7335"/>
    <w:rPr>
      <w:color w:val="0563C1" w:themeColor="hyperlink"/>
      <w:u w:val="single"/>
    </w:rPr>
  </w:style>
  <w:style w:type="character" w:styleId="NichtaufgelsteErwhnung">
    <w:name w:val="Unresolved Mention"/>
    <w:basedOn w:val="Absatz-Standardschriftart"/>
    <w:uiPriority w:val="99"/>
    <w:semiHidden/>
    <w:unhideWhenUsed/>
    <w:rsid w:val="00FF7335"/>
    <w:rPr>
      <w:color w:val="605E5C"/>
      <w:shd w:val="clear" w:color="auto" w:fill="E1DFDD"/>
    </w:rPr>
  </w:style>
  <w:style w:type="character" w:styleId="BesuchterLink">
    <w:name w:val="FollowedHyperlink"/>
    <w:basedOn w:val="Absatz-Standardschriftart"/>
    <w:uiPriority w:val="99"/>
    <w:semiHidden/>
    <w:unhideWhenUsed/>
    <w:rsid w:val="00FF7335"/>
    <w:rPr>
      <w:color w:val="954F72" w:themeColor="followedHyperlink"/>
      <w:u w:val="single"/>
    </w:rPr>
  </w:style>
  <w:style w:type="character" w:customStyle="1" w:styleId="berschrift1Zchn">
    <w:name w:val="Überschrift 1 Zchn"/>
    <w:basedOn w:val="Absatz-Standardschriftart"/>
    <w:link w:val="berschrift1"/>
    <w:uiPriority w:val="9"/>
    <w:rsid w:val="00273E7B"/>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022125"/>
    <w:pPr>
      <w:ind w:left="720"/>
      <w:contextualSpacing/>
    </w:pPr>
  </w:style>
  <w:style w:type="paragraph" w:styleId="Funotentext">
    <w:name w:val="footnote text"/>
    <w:basedOn w:val="Standard"/>
    <w:link w:val="FunotentextZchn"/>
    <w:uiPriority w:val="99"/>
    <w:semiHidden/>
    <w:unhideWhenUsed/>
    <w:rsid w:val="006E261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2616"/>
    <w:rPr>
      <w:sz w:val="20"/>
      <w:szCs w:val="20"/>
    </w:rPr>
  </w:style>
  <w:style w:type="character" w:styleId="Funotenzeichen">
    <w:name w:val="footnote reference"/>
    <w:basedOn w:val="Absatz-Standardschriftart"/>
    <w:uiPriority w:val="99"/>
    <w:semiHidden/>
    <w:unhideWhenUsed/>
    <w:rsid w:val="006E2616"/>
    <w:rPr>
      <w:vertAlign w:val="superscript"/>
    </w:rPr>
  </w:style>
  <w:style w:type="paragraph" w:styleId="berarbeitung">
    <w:name w:val="Revision"/>
    <w:hidden/>
    <w:uiPriority w:val="99"/>
    <w:semiHidden/>
    <w:rsid w:val="00803CA8"/>
    <w:pPr>
      <w:spacing w:after="0" w:line="240" w:lineRule="auto"/>
    </w:pPr>
  </w:style>
  <w:style w:type="character" w:styleId="Kommentarzeichen">
    <w:name w:val="annotation reference"/>
    <w:basedOn w:val="Absatz-Standardschriftart"/>
    <w:uiPriority w:val="99"/>
    <w:semiHidden/>
    <w:unhideWhenUsed/>
    <w:rsid w:val="008C3088"/>
    <w:rPr>
      <w:sz w:val="16"/>
      <w:szCs w:val="16"/>
    </w:rPr>
  </w:style>
  <w:style w:type="paragraph" w:styleId="Kommentartext">
    <w:name w:val="annotation text"/>
    <w:basedOn w:val="Standard"/>
    <w:link w:val="KommentartextZchn"/>
    <w:uiPriority w:val="99"/>
    <w:unhideWhenUsed/>
    <w:rsid w:val="008C3088"/>
    <w:pPr>
      <w:spacing w:line="240" w:lineRule="auto"/>
    </w:pPr>
    <w:rPr>
      <w:sz w:val="20"/>
      <w:szCs w:val="20"/>
    </w:rPr>
  </w:style>
  <w:style w:type="character" w:customStyle="1" w:styleId="KommentartextZchn">
    <w:name w:val="Kommentartext Zchn"/>
    <w:basedOn w:val="Absatz-Standardschriftart"/>
    <w:link w:val="Kommentartext"/>
    <w:uiPriority w:val="99"/>
    <w:rsid w:val="008C3088"/>
    <w:rPr>
      <w:sz w:val="20"/>
      <w:szCs w:val="20"/>
    </w:rPr>
  </w:style>
  <w:style w:type="paragraph" w:styleId="Kommentarthema">
    <w:name w:val="annotation subject"/>
    <w:basedOn w:val="Kommentartext"/>
    <w:next w:val="Kommentartext"/>
    <w:link w:val="KommentarthemaZchn"/>
    <w:uiPriority w:val="99"/>
    <w:semiHidden/>
    <w:unhideWhenUsed/>
    <w:rsid w:val="008C3088"/>
    <w:rPr>
      <w:b/>
      <w:bCs/>
    </w:rPr>
  </w:style>
  <w:style w:type="character" w:customStyle="1" w:styleId="KommentarthemaZchn">
    <w:name w:val="Kommentarthema Zchn"/>
    <w:basedOn w:val="KommentartextZchn"/>
    <w:link w:val="Kommentarthema"/>
    <w:uiPriority w:val="99"/>
    <w:semiHidden/>
    <w:rsid w:val="008C3088"/>
    <w:rPr>
      <w:b/>
      <w:bCs/>
      <w:sz w:val="20"/>
      <w:szCs w:val="20"/>
    </w:rPr>
  </w:style>
  <w:style w:type="paragraph" w:styleId="StandardWeb">
    <w:name w:val="Normal (Web)"/>
    <w:basedOn w:val="Standard"/>
    <w:uiPriority w:val="99"/>
    <w:unhideWhenUsed/>
    <w:rsid w:val="00F5303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F530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303F"/>
  </w:style>
  <w:style w:type="paragraph" w:styleId="Fuzeile">
    <w:name w:val="footer"/>
    <w:basedOn w:val="Standard"/>
    <w:link w:val="FuzeileZchn"/>
    <w:uiPriority w:val="99"/>
    <w:unhideWhenUsed/>
    <w:rsid w:val="00F530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303F"/>
  </w:style>
  <w:style w:type="character" w:styleId="Seitenzahl">
    <w:name w:val="page number"/>
    <w:basedOn w:val="Absatz-Standardschriftart"/>
    <w:uiPriority w:val="99"/>
    <w:semiHidden/>
    <w:unhideWhenUsed/>
    <w:rsid w:val="0026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5010">
      <w:bodyDiv w:val="1"/>
      <w:marLeft w:val="0"/>
      <w:marRight w:val="0"/>
      <w:marTop w:val="0"/>
      <w:marBottom w:val="0"/>
      <w:divBdr>
        <w:top w:val="none" w:sz="0" w:space="0" w:color="auto"/>
        <w:left w:val="none" w:sz="0" w:space="0" w:color="auto"/>
        <w:bottom w:val="none" w:sz="0" w:space="0" w:color="auto"/>
        <w:right w:val="none" w:sz="0" w:space="0" w:color="auto"/>
      </w:divBdr>
    </w:div>
    <w:div w:id="536239216">
      <w:bodyDiv w:val="1"/>
      <w:marLeft w:val="0"/>
      <w:marRight w:val="0"/>
      <w:marTop w:val="0"/>
      <w:marBottom w:val="0"/>
      <w:divBdr>
        <w:top w:val="none" w:sz="0" w:space="0" w:color="auto"/>
        <w:left w:val="none" w:sz="0" w:space="0" w:color="auto"/>
        <w:bottom w:val="none" w:sz="0" w:space="0" w:color="auto"/>
        <w:right w:val="none" w:sz="0" w:space="0" w:color="auto"/>
      </w:divBdr>
    </w:div>
    <w:div w:id="845368830">
      <w:bodyDiv w:val="1"/>
      <w:marLeft w:val="0"/>
      <w:marRight w:val="0"/>
      <w:marTop w:val="0"/>
      <w:marBottom w:val="0"/>
      <w:divBdr>
        <w:top w:val="none" w:sz="0" w:space="0" w:color="auto"/>
        <w:left w:val="none" w:sz="0" w:space="0" w:color="auto"/>
        <w:bottom w:val="none" w:sz="0" w:space="0" w:color="auto"/>
        <w:right w:val="none" w:sz="0" w:space="0" w:color="auto"/>
      </w:divBdr>
    </w:div>
    <w:div w:id="1171067482">
      <w:bodyDiv w:val="1"/>
      <w:marLeft w:val="0"/>
      <w:marRight w:val="0"/>
      <w:marTop w:val="0"/>
      <w:marBottom w:val="0"/>
      <w:divBdr>
        <w:top w:val="none" w:sz="0" w:space="0" w:color="auto"/>
        <w:left w:val="none" w:sz="0" w:space="0" w:color="auto"/>
        <w:bottom w:val="none" w:sz="0" w:space="0" w:color="auto"/>
        <w:right w:val="none" w:sz="0" w:space="0" w:color="auto"/>
      </w:divBdr>
    </w:div>
    <w:div w:id="2140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netherland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efsa.europa.eu/en/efsajournal/pub/8576" TargetMode="External"/><Relationship Id="rId2" Type="http://schemas.openxmlformats.org/officeDocument/2006/relationships/hyperlink" Target="https://www.efsa.europa.eu/en/efsajournal/pub/6230" TargetMode="External"/><Relationship Id="rId1" Type="http://schemas.openxmlformats.org/officeDocument/2006/relationships/hyperlink" Target="about:blank" TargetMode="External"/><Relationship Id="rId5" Type="http://schemas.openxmlformats.org/officeDocument/2006/relationships/hyperlink" Target="https://www.efsa.europa.eu/en/efsajournal/pub/8576" TargetMode="External"/><Relationship Id="rId4" Type="http://schemas.openxmlformats.org/officeDocument/2006/relationships/hyperlink" Target="https://www.efsa.europa.eu/en/efsajournal/pub/623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2056</Words>
  <Characters>12958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muilerman</dc:creator>
  <cp:keywords/>
  <dc:description/>
  <cp:lastModifiedBy>Margriet Mantingh</cp:lastModifiedBy>
  <cp:revision>2</cp:revision>
  <cp:lastPrinted>2024-11-21T20:13:00Z</cp:lastPrinted>
  <dcterms:created xsi:type="dcterms:W3CDTF">2025-03-09T18:58:00Z</dcterms:created>
  <dcterms:modified xsi:type="dcterms:W3CDTF">2025-03-09T18:58:00Z</dcterms:modified>
</cp:coreProperties>
</file>